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56" w:beforeLines="50"/>
        <w:jc w:val="center"/>
        <w:rPr>
          <w:rFonts w:hint="eastAsia" w:ascii="黑体" w:hAnsi="黑体" w:eastAsia="黑体"/>
          <w:b/>
          <w:sz w:val="36"/>
          <w:szCs w:val="36"/>
        </w:rPr>
      </w:pPr>
      <w:r>
        <w:rPr>
          <w:rFonts w:hint="eastAsia" w:ascii="黑体" w:hAnsi="黑体" w:eastAsia="黑体"/>
          <w:b/>
          <w:sz w:val="36"/>
          <w:szCs w:val="36"/>
        </w:rPr>
        <w:t>十堰市妇幼保健院设备(或劳务)招标采购技术参数表</w:t>
      </w:r>
    </w:p>
    <w:tbl>
      <w:tblPr>
        <w:tblStyle w:val="4"/>
        <w:tblW w:w="10443" w:type="dxa"/>
        <w:tblInd w:w="-9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9"/>
        <w:gridCol w:w="905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389" w:type="dxa"/>
            <w:vAlign w:val="center"/>
          </w:tcPr>
          <w:p>
            <w:pPr>
              <w:rPr>
                <w:rFonts w:hint="eastAsia"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/>
                <w:bCs/>
                <w:sz w:val="28"/>
                <w:szCs w:val="28"/>
              </w:rPr>
              <w:t>申购设备名称</w:t>
            </w:r>
          </w:p>
        </w:tc>
        <w:tc>
          <w:tcPr>
            <w:tcW w:w="9054" w:type="dxa"/>
            <w:vAlign w:val="center"/>
          </w:tcPr>
          <w:p>
            <w:pPr>
              <w:rPr>
                <w:rFonts w:hint="eastAsia"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sz w:val="28"/>
                <w:szCs w:val="28"/>
                <w:lang w:eastAsia="zh-CN"/>
              </w:rPr>
              <w:t>强脉冲光治疗仪</w:t>
            </w:r>
            <w:r>
              <w:rPr>
                <w:rFonts w:hint="eastAsia" w:ascii="仿宋_GB2312" w:hAnsi="宋体" w:eastAsia="仿宋_GB2312" w:cs="宋体"/>
                <w:sz w:val="28"/>
                <w:szCs w:val="28"/>
                <w:lang w:val="en-US" w:eastAsia="zh-CN"/>
              </w:rPr>
              <w:t xml:space="preserve">               </w:t>
            </w:r>
            <w:r>
              <w:rPr>
                <w:rFonts w:hint="eastAsia" w:ascii="仿宋_GB2312" w:hAnsi="宋体" w:eastAsia="仿宋_GB2312" w:cs="宋体"/>
                <w:sz w:val="28"/>
                <w:szCs w:val="28"/>
                <w:lang w:eastAsia="zh-CN"/>
              </w:rPr>
              <w:t>□</w:t>
            </w:r>
            <w:r>
              <w:rPr>
                <w:rFonts w:hint="eastAsia" w:ascii="仿宋_GB2312" w:hAnsi="仿宋" w:eastAsia="仿宋_GB2312"/>
                <w:sz w:val="28"/>
                <w:szCs w:val="28"/>
              </w:rPr>
              <w:t>国产</w:t>
            </w:r>
            <w:r>
              <w:rPr>
                <w:rFonts w:hint="eastAsia" w:ascii="仿宋_GB2312" w:hAnsi="仿宋" w:eastAsia="仿宋_GB2312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int="eastAsia" w:ascii="仿宋_GB2312" w:hAnsi="宋体" w:eastAsia="仿宋_GB2312" w:cs="宋体"/>
                <w:sz w:val="28"/>
                <w:szCs w:val="28"/>
                <w:lang w:eastAsia="zh-CN"/>
              </w:rPr>
              <w:t>□</w:t>
            </w:r>
            <w:r>
              <w:rPr>
                <w:rFonts w:hint="eastAsia" w:ascii="仿宋_GB2312" w:hAnsi="仿宋" w:eastAsia="仿宋_GB2312"/>
                <w:sz w:val="28"/>
                <w:szCs w:val="28"/>
              </w:rPr>
              <w:t>进口</w:t>
            </w:r>
            <w:r>
              <w:rPr>
                <w:rFonts w:hint="eastAsia" w:ascii="仿宋_GB2312" w:hAnsi="仿宋" w:eastAsia="仿宋_GB2312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int="eastAsia" w:ascii="仿宋_GB2312" w:hAnsi="宋体" w:eastAsia="仿宋_GB2312" w:cs="宋体"/>
                <w:sz w:val="28"/>
                <w:szCs w:val="28"/>
              </w:rPr>
              <w:t>□</w:t>
            </w:r>
            <w:r>
              <w:rPr>
                <w:rFonts w:hint="eastAsia" w:ascii="仿宋_GB2312" w:hAnsi="仿宋" w:eastAsia="仿宋_GB2312" w:cs="仿宋"/>
                <w:sz w:val="28"/>
                <w:szCs w:val="28"/>
              </w:rPr>
              <w:t>不限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4" w:hRule="exact"/>
        </w:trPr>
        <w:tc>
          <w:tcPr>
            <w:tcW w:w="138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/>
                <w:bCs/>
                <w:sz w:val="28"/>
                <w:szCs w:val="28"/>
              </w:rPr>
              <w:t>设备功能用途描述</w:t>
            </w:r>
          </w:p>
        </w:tc>
        <w:tc>
          <w:tcPr>
            <w:tcW w:w="9054" w:type="dxa"/>
            <w:vAlign w:val="center"/>
          </w:tcPr>
          <w:p>
            <w:pPr>
              <w:rPr>
                <w:rFonts w:ascii="仿宋_GB2312" w:hAnsi="仿宋" w:eastAsia="仿宋_GB2312"/>
                <w:b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lang w:val="en-US" w:eastAsia="zh-CN"/>
              </w:rPr>
              <w:t>强脉冲光治疗系统是进行皮肤治疗及医疗美容的专用设备。利用强脉冲光技术，多种波长精准作用于目标组织，直击黑色素，封闭血管，破坏毛囊，分散色斑，除皱紧肤，恢复年轻风采，同时可以去除面部和身体的多余毛发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22" w:hRule="atLeast"/>
        </w:trPr>
        <w:tc>
          <w:tcPr>
            <w:tcW w:w="1389" w:type="dxa"/>
            <w:vAlign w:val="center"/>
          </w:tcPr>
          <w:p>
            <w:pPr>
              <w:spacing w:line="276" w:lineRule="auto"/>
              <w:jc w:val="center"/>
              <w:rPr>
                <w:rFonts w:hint="eastAsia" w:ascii="仿宋_GB2312" w:hAnsi="仿宋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/>
                <w:bCs/>
                <w:sz w:val="28"/>
                <w:szCs w:val="28"/>
              </w:rPr>
              <w:t>具体技术参数</w:t>
            </w:r>
          </w:p>
        </w:tc>
        <w:tc>
          <w:tcPr>
            <w:tcW w:w="9054" w:type="dxa"/>
            <w:vAlign w:val="top"/>
          </w:tcPr>
          <w:p>
            <w:pPr>
              <w:spacing w:line="276" w:lineRule="auto"/>
              <w:rPr>
                <w:rFonts w:hint="eastAsia"/>
              </w:rPr>
            </w:pPr>
            <w:r>
              <w:rPr>
                <w:rFonts w:hint="eastAsia"/>
              </w:rPr>
              <w:t>“*”核心参数</w:t>
            </w:r>
          </w:p>
          <w:p>
            <w:pPr>
              <w:spacing w:line="276" w:lineRule="auto"/>
              <w:rPr>
                <w:rFonts w:hint="eastAsia" w:ascii="Times New Roman" w:hAnsi="Times New Roman" w:eastAsia="宋体" w:cs="Times New Roman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lang w:val="en-US" w:eastAsia="zh-CN"/>
              </w:rPr>
              <w:t>1、光源：强脉冲光源</w:t>
            </w:r>
          </w:p>
          <w:p>
            <w:pPr>
              <w:spacing w:line="276" w:lineRule="auto"/>
              <w:rPr>
                <w:rFonts w:hint="eastAsia" w:ascii="Times New Roman" w:hAnsi="Times New Roman" w:eastAsia="宋体" w:cs="Times New Roman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lang w:val="en-US" w:eastAsia="zh-CN"/>
              </w:rPr>
              <w:t>*2、激励方式：双灯泵浦，集成两个同时输出的氙灯光源。</w:t>
            </w:r>
          </w:p>
          <w:p>
            <w:pPr>
              <w:spacing w:line="276" w:lineRule="auto"/>
              <w:rPr>
                <w:rFonts w:hint="eastAsia" w:ascii="Times New Roman" w:hAnsi="Times New Roman" w:eastAsia="宋体" w:cs="Times New Roman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lang w:val="en-US" w:eastAsia="zh-CN"/>
              </w:rPr>
              <w:t>3、波长要求：具有六种不同功能滤波片</w:t>
            </w:r>
          </w:p>
          <w:p>
            <w:pPr>
              <w:spacing w:line="276" w:lineRule="auto"/>
              <w:rPr>
                <w:rFonts w:hint="eastAsia" w:ascii="Times New Roman" w:hAnsi="Times New Roman" w:eastAsia="宋体" w:cs="Times New Roman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lang w:val="en-US" w:eastAsia="zh-CN"/>
              </w:rPr>
              <w:t>420nm-1200nm主要用于痤疮治疗</w:t>
            </w:r>
          </w:p>
          <w:p>
            <w:pPr>
              <w:spacing w:line="276" w:lineRule="auto"/>
              <w:rPr>
                <w:rFonts w:hint="eastAsia" w:ascii="Times New Roman" w:hAnsi="Times New Roman" w:eastAsia="宋体" w:cs="Times New Roman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lang w:val="en-US" w:eastAsia="zh-CN"/>
              </w:rPr>
              <w:t>515nm-1200nm主要用于浅表色素性病变</w:t>
            </w:r>
          </w:p>
          <w:p>
            <w:pPr>
              <w:spacing w:line="276" w:lineRule="auto"/>
              <w:rPr>
                <w:rFonts w:hint="eastAsia" w:ascii="Times New Roman" w:hAnsi="Times New Roman" w:eastAsia="宋体" w:cs="Times New Roman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lang w:val="en-US" w:eastAsia="zh-CN"/>
              </w:rPr>
              <w:t>560nm-1200nm主要用于血管性病变和嫩肤治疗</w:t>
            </w:r>
          </w:p>
          <w:p>
            <w:pPr>
              <w:spacing w:line="276" w:lineRule="auto"/>
              <w:rPr>
                <w:rFonts w:hint="eastAsia" w:ascii="Times New Roman" w:hAnsi="Times New Roman" w:eastAsia="宋体" w:cs="Times New Roman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lang w:val="en-US" w:eastAsia="zh-CN"/>
              </w:rPr>
              <w:t>590nm-1200nm主要用于血管性病变</w:t>
            </w:r>
          </w:p>
          <w:p>
            <w:pPr>
              <w:spacing w:line="276" w:lineRule="auto"/>
              <w:rPr>
                <w:rFonts w:hint="eastAsia" w:ascii="Times New Roman" w:hAnsi="Times New Roman" w:eastAsia="宋体" w:cs="Times New Roman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lang w:val="en-US" w:eastAsia="zh-CN"/>
              </w:rPr>
              <w:t>640nm-1200nm主要用于脱毛</w:t>
            </w:r>
          </w:p>
          <w:p>
            <w:pPr>
              <w:spacing w:line="276" w:lineRule="auto"/>
              <w:rPr>
                <w:rFonts w:hint="eastAsia" w:ascii="Times New Roman" w:hAnsi="Times New Roman" w:eastAsia="宋体" w:cs="Times New Roman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lang w:val="en-US" w:eastAsia="zh-CN"/>
              </w:rPr>
              <w:t>695nm-1200nm主要用于深色皮肤的脱毛</w:t>
            </w:r>
          </w:p>
          <w:p>
            <w:pPr>
              <w:spacing w:line="276" w:lineRule="auto"/>
              <w:rPr>
                <w:rFonts w:hint="eastAsia" w:ascii="Times New Roman" w:hAnsi="Times New Roman" w:eastAsia="宋体" w:cs="Times New Roman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lang w:val="en-US" w:eastAsia="zh-CN"/>
              </w:rPr>
              <w:t>4、滤波片切换方式：可插拔滤波片技术，不需开关机，可在不同的功能滤波片自由切换。</w:t>
            </w:r>
          </w:p>
          <w:p>
            <w:pPr>
              <w:spacing w:line="276" w:lineRule="auto"/>
              <w:rPr>
                <w:rFonts w:hint="eastAsia" w:ascii="Times New Roman" w:hAnsi="Times New Roman" w:eastAsia="宋体" w:cs="Times New Roman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lang w:val="en-US" w:eastAsia="zh-CN"/>
              </w:rPr>
              <w:t>*5、子脉冲调节方式：自动调节子脉宽和延时</w:t>
            </w:r>
          </w:p>
          <w:p>
            <w:pPr>
              <w:spacing w:line="276" w:lineRule="auto"/>
              <w:rPr>
                <w:rFonts w:hint="eastAsia" w:ascii="Times New Roman" w:hAnsi="Times New Roman" w:eastAsia="宋体" w:cs="Times New Roman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lang w:val="en-US" w:eastAsia="zh-CN"/>
              </w:rPr>
              <w:t xml:space="preserve">*6、脉冲个数：≥10个子脉冲 </w:t>
            </w:r>
          </w:p>
          <w:p>
            <w:pPr>
              <w:spacing w:line="276" w:lineRule="auto"/>
              <w:rPr>
                <w:rFonts w:hint="eastAsia" w:ascii="Times New Roman" w:hAnsi="Times New Roman" w:eastAsia="宋体" w:cs="Times New Roman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lang w:val="en-US" w:eastAsia="zh-CN"/>
              </w:rPr>
              <w:t xml:space="preserve">7、脉宽：≥800ms </w:t>
            </w:r>
          </w:p>
          <w:p>
            <w:pPr>
              <w:spacing w:line="276" w:lineRule="auto"/>
              <w:rPr>
                <w:rFonts w:hint="eastAsia" w:ascii="Times New Roman" w:hAnsi="Times New Roman" w:eastAsia="宋体" w:cs="Times New Roman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lang w:val="en-US" w:eastAsia="zh-CN"/>
              </w:rPr>
              <w:t xml:space="preserve">8、最大能量密度：≥35J/cm2 </w:t>
            </w:r>
          </w:p>
          <w:p>
            <w:pPr>
              <w:spacing w:line="276" w:lineRule="auto"/>
              <w:rPr>
                <w:rFonts w:hint="eastAsia" w:ascii="Times New Roman" w:hAnsi="Times New Roman" w:eastAsia="宋体" w:cs="Times New Roman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lang w:val="en-US" w:eastAsia="zh-CN"/>
              </w:rPr>
              <w:t xml:space="preserve">*9、最低临床起始能量：≤5J/cm2   </w:t>
            </w:r>
          </w:p>
          <w:p>
            <w:pPr>
              <w:spacing w:line="276" w:lineRule="auto"/>
              <w:rPr>
                <w:rFonts w:hint="eastAsia" w:ascii="Times New Roman" w:hAnsi="Times New Roman" w:eastAsia="宋体" w:cs="Times New Roman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lang w:val="en-US" w:eastAsia="zh-CN"/>
              </w:rPr>
              <w:t>10、能量密度调节步进：1J/cm2，面板触控可调</w:t>
            </w:r>
          </w:p>
          <w:p>
            <w:pPr>
              <w:spacing w:line="276" w:lineRule="auto"/>
              <w:rPr>
                <w:rFonts w:hint="eastAsia" w:ascii="Times New Roman" w:hAnsi="Times New Roman" w:eastAsia="宋体" w:cs="Times New Roman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lang w:val="en-US" w:eastAsia="zh-CN"/>
              </w:rPr>
              <w:t>11、重复频率：≥2Hz</w:t>
            </w:r>
          </w:p>
          <w:p>
            <w:pPr>
              <w:spacing w:line="276" w:lineRule="auto"/>
              <w:rPr>
                <w:rFonts w:hint="eastAsia" w:ascii="Times New Roman" w:hAnsi="Times New Roman" w:eastAsia="宋体" w:cs="Times New Roman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lang w:val="en-US" w:eastAsia="zh-CN"/>
              </w:rPr>
              <w:t xml:space="preserve">12、光斑面积：≥15mm x 45 mm </w:t>
            </w:r>
          </w:p>
          <w:p>
            <w:pPr>
              <w:spacing w:line="276" w:lineRule="auto"/>
              <w:rPr>
                <w:rFonts w:hint="eastAsia" w:ascii="Times New Roman" w:hAnsi="Times New Roman" w:eastAsia="宋体" w:cs="Times New Roman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lang w:val="en-US" w:eastAsia="zh-CN"/>
              </w:rPr>
              <w:t>13、光斑适配器：2种适配器</w:t>
            </w:r>
          </w:p>
          <w:p>
            <w:pPr>
              <w:spacing w:line="276" w:lineRule="auto"/>
              <w:rPr>
                <w:rFonts w:hint="eastAsia" w:ascii="Times New Roman" w:hAnsi="Times New Roman" w:eastAsia="宋体" w:cs="Times New Roman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lang w:val="en-US" w:eastAsia="zh-CN"/>
              </w:rPr>
              <w:t>14、正方形15mm x 15 mm</w:t>
            </w:r>
          </w:p>
          <w:p>
            <w:pPr>
              <w:spacing w:line="276" w:lineRule="auto"/>
              <w:rPr>
                <w:rFonts w:hint="eastAsia" w:ascii="Times New Roman" w:hAnsi="Times New Roman" w:eastAsia="宋体" w:cs="Times New Roman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lang w:val="en-US" w:eastAsia="zh-CN"/>
              </w:rPr>
              <w:t>15、圆形11mm</w:t>
            </w:r>
          </w:p>
          <w:p>
            <w:pPr>
              <w:spacing w:line="276" w:lineRule="auto"/>
              <w:rPr>
                <w:rFonts w:hint="eastAsia" w:ascii="Times New Roman" w:hAnsi="Times New Roman" w:eastAsia="宋体" w:cs="Times New Roman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lang w:val="en-US" w:eastAsia="zh-CN"/>
              </w:rPr>
              <w:t>16、冷却方式：蓝宝石接触持续式冷却 </w:t>
            </w:r>
          </w:p>
          <w:p>
            <w:pPr>
              <w:spacing w:line="276" w:lineRule="auto"/>
              <w:rPr>
                <w:rFonts w:hint="eastAsia" w:ascii="Times New Roman" w:hAnsi="Times New Roman" w:eastAsia="宋体" w:cs="Times New Roman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lang w:val="en-US" w:eastAsia="zh-CN"/>
              </w:rPr>
              <w:t>17、冷却温度：0°C -30°C逐级可调,步进5°C</w:t>
            </w:r>
          </w:p>
          <w:p>
            <w:pPr>
              <w:spacing w:line="276" w:lineRule="auto"/>
              <w:rPr>
                <w:rFonts w:hint="eastAsia" w:ascii="Times New Roman" w:hAnsi="Times New Roman" w:eastAsia="宋体" w:cs="Times New Roman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lang w:val="en-US" w:eastAsia="zh-CN"/>
              </w:rPr>
              <w:t>18、发射方式：脚踏触发</w:t>
            </w:r>
          </w:p>
          <w:p>
            <w:pPr>
              <w:spacing w:line="276" w:lineRule="auto"/>
              <w:rPr>
                <w:rFonts w:hint="eastAsia" w:ascii="Times New Roman" w:hAnsi="Times New Roman" w:eastAsia="宋体" w:cs="Times New Roman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lang w:val="en-US" w:eastAsia="zh-CN"/>
              </w:rPr>
              <w:t>19、主机水路冷却：具有水冷、风冷、高效换热器三重水循环冷却功能，有效保障设备稳定工作</w:t>
            </w:r>
          </w:p>
          <w:p>
            <w:pPr>
              <w:spacing w:line="276" w:lineRule="auto"/>
              <w:rPr>
                <w:rFonts w:hint="eastAsia" w:ascii="Times New Roman" w:hAnsi="Times New Roman" w:eastAsia="宋体" w:cs="Times New Roman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lang w:val="en-US" w:eastAsia="zh-CN"/>
              </w:rPr>
              <w:t>水路清洁保护系统：去离子自净交换系统</w:t>
            </w:r>
          </w:p>
          <w:p>
            <w:pPr>
              <w:spacing w:line="276" w:lineRule="auto"/>
              <w:rPr>
                <w:rFonts w:hint="eastAsia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lang w:val="en-US" w:eastAsia="zh-CN"/>
              </w:rPr>
              <w:t>20、电源要求及输入功率：220V/50Hz，电流≧13A，输入功率≧2500VA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1" w:hRule="exact"/>
        </w:trPr>
        <w:tc>
          <w:tcPr>
            <w:tcW w:w="1389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/>
                <w:bCs/>
                <w:sz w:val="28"/>
                <w:szCs w:val="28"/>
              </w:rPr>
              <w:t>使用科室</w:t>
            </w:r>
          </w:p>
          <w:p>
            <w:pPr>
              <w:spacing w:line="400" w:lineRule="exact"/>
              <w:jc w:val="center"/>
              <w:rPr>
                <w:rFonts w:hint="eastAsia" w:ascii="仿宋_GB2312" w:hAnsi="仿宋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/>
                <w:bCs/>
                <w:sz w:val="28"/>
                <w:szCs w:val="28"/>
              </w:rPr>
              <w:t>科委会意见</w:t>
            </w:r>
          </w:p>
        </w:tc>
        <w:tc>
          <w:tcPr>
            <w:tcW w:w="9054" w:type="dxa"/>
            <w:vAlign w:val="bottom"/>
          </w:tcPr>
          <w:p>
            <w:pPr>
              <w:spacing w:line="400" w:lineRule="exact"/>
              <w:jc w:val="both"/>
              <w:rPr>
                <w:rFonts w:hint="eastAsia" w:ascii="仿宋_GB2312" w:hAnsi="仿宋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科</w:t>
            </w:r>
            <w:r>
              <w:rPr>
                <w:rFonts w:ascii="仿宋_GB2312" w:hAnsi="仿宋" w:eastAsia="仿宋_GB2312"/>
                <w:sz w:val="28"/>
                <w:szCs w:val="28"/>
              </w:rPr>
              <w:t>主任及</w:t>
            </w:r>
            <w:r>
              <w:rPr>
                <w:rFonts w:hint="eastAsia" w:ascii="仿宋_GB2312" w:hAnsi="仿宋" w:eastAsia="仿宋_GB2312"/>
                <w:sz w:val="28"/>
                <w:szCs w:val="28"/>
              </w:rPr>
              <w:t>科委会签字（3人</w:t>
            </w:r>
            <w:r>
              <w:rPr>
                <w:rFonts w:ascii="仿宋_GB2312" w:hAnsi="仿宋" w:eastAsia="仿宋_GB2312"/>
                <w:sz w:val="28"/>
                <w:szCs w:val="28"/>
              </w:rPr>
              <w:t>或</w:t>
            </w:r>
            <w:r>
              <w:rPr>
                <w:rFonts w:hint="eastAsia" w:ascii="仿宋_GB2312" w:hAnsi="仿宋" w:eastAsia="仿宋_GB2312"/>
                <w:sz w:val="28"/>
                <w:szCs w:val="28"/>
              </w:rPr>
              <w:t>3人</w:t>
            </w:r>
            <w:r>
              <w:rPr>
                <w:rFonts w:ascii="仿宋_GB2312" w:hAnsi="仿宋" w:eastAsia="仿宋_GB2312"/>
                <w:sz w:val="28"/>
                <w:szCs w:val="28"/>
              </w:rPr>
              <w:t>以上</w:t>
            </w:r>
            <w:r>
              <w:rPr>
                <w:rFonts w:hint="eastAsia" w:ascii="仿宋_GB2312" w:hAnsi="仿宋" w:eastAsia="仿宋_GB2312"/>
                <w:sz w:val="28"/>
                <w:szCs w:val="28"/>
              </w:rPr>
              <w:t xml:space="preserve">）：   </w:t>
            </w:r>
            <w:r>
              <w:rPr>
                <w:rFonts w:hint="eastAsia" w:ascii="仿宋_GB2312" w:hAnsi="仿宋" w:eastAsia="仿宋_GB2312"/>
                <w:sz w:val="28"/>
                <w:szCs w:val="28"/>
                <w:lang w:eastAsia="zh-CN"/>
              </w:rPr>
              <w:t>陈燕</w:t>
            </w:r>
            <w:r>
              <w:rPr>
                <w:rFonts w:hint="eastAsia" w:ascii="仿宋_GB2312" w:hAnsi="仿宋" w:eastAsia="仿宋_GB2312"/>
                <w:sz w:val="28"/>
                <w:szCs w:val="28"/>
                <w:lang w:val="en-US" w:eastAsia="zh-CN"/>
              </w:rPr>
              <w:t xml:space="preserve">    王旭     尚娜</w:t>
            </w:r>
          </w:p>
          <w:p>
            <w:pPr>
              <w:spacing w:line="400" w:lineRule="exact"/>
              <w:ind w:firstLine="2" w:firstLineChars="1"/>
              <w:jc w:val="both"/>
              <w:rPr>
                <w:rFonts w:hint="eastAsia" w:ascii="仿宋_GB2312" w:hAnsi="仿宋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  <w:lang w:val="en-US" w:eastAsia="zh-CN"/>
              </w:rPr>
              <w:t xml:space="preserve">   赵莹莹</w:t>
            </w:r>
          </w:p>
          <w:p>
            <w:pPr>
              <w:spacing w:line="400" w:lineRule="exact"/>
              <w:jc w:val="both"/>
              <w:rPr>
                <w:rFonts w:hint="eastAsia" w:ascii="仿宋_GB2312" w:hAnsi="仿宋" w:eastAsia="仿宋_GB2312"/>
                <w:sz w:val="28"/>
                <w:szCs w:val="28"/>
              </w:rPr>
            </w:pPr>
          </w:p>
          <w:p>
            <w:pPr>
              <w:spacing w:line="400" w:lineRule="exact"/>
              <w:ind w:firstLine="4760" w:firstLineChars="1700"/>
              <w:jc w:val="both"/>
              <w:rPr>
                <w:rFonts w:hint="eastAsia" w:ascii="仿宋_GB2312" w:hAnsi="仿宋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日期：</w:t>
            </w:r>
            <w:r>
              <w:rPr>
                <w:rFonts w:hint="eastAsia" w:ascii="仿宋_GB2312" w:hAnsi="仿宋" w:eastAsia="仿宋_GB2312"/>
                <w:sz w:val="28"/>
                <w:szCs w:val="28"/>
                <w:lang w:val="en-US" w:eastAsia="zh-CN"/>
              </w:rPr>
              <w:t>2021.5.20</w:t>
            </w:r>
          </w:p>
        </w:tc>
      </w:tr>
    </w:tbl>
    <w:p>
      <w:pPr>
        <w:spacing w:line="360" w:lineRule="exact"/>
      </w:pPr>
      <w:r>
        <w:rPr>
          <w:rFonts w:hint="eastAsia" w:ascii="宋体" w:hAnsi="宋体" w:cs="宋体"/>
          <w:sz w:val="20"/>
          <w:szCs w:val="28"/>
        </w:rPr>
        <w:t>注:此表请填写后打印一份,科室签字后送招标办,技术参数表电子版需OA发一份到招标办.</w:t>
      </w:r>
      <w:bookmarkStart w:id="0" w:name="_GoBack"/>
      <w:bookmarkEnd w:id="0"/>
    </w:p>
    <w:sectPr>
      <w:headerReference r:id="rId3" w:type="default"/>
      <w:pgSz w:w="11906" w:h="16838"/>
      <w:pgMar w:top="568" w:right="1758" w:bottom="851" w:left="179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A4D2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Office_10.1.0.7520_F1E327BC-269C-435d-A152-05C5408002CA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空</cp:lastModifiedBy>
  <dcterms:modified xsi:type="dcterms:W3CDTF">2021-07-15T09:32:42Z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2052-10.1.0.7520</vt:lpwstr>
  </property>
</Properties>
</file>