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510" w:type="dxa"/>
            <w:tcBorders>
              <w:bottom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彩色多普勒超声诊断仪主要求及技术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一、主要功能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用于妇科常规检查、卵泡监测、取卵、移植、囊肿穿刺、减胎等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1、全身应用型台式彩色多普勒超声诊断仪，最新机型及软件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2、≥21”高分辨率彩色液晶显示器，≥13”彩色液晶彩色触摸屏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3、主机五个探头接口大小一致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4、动态范围≥270，增益调节≥200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5、超宽频变频探头，可5段变频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6、腹部探头：频率1-6MHz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7、曲柄腔内探头：频率3-15MHz，手柄与探头体角度≥145°，探头扫查角度≥190°（非扩展情况下）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510" w:type="dxa"/>
            <w:tcBorders>
              <w:top w:val="nil"/>
              <w:bottom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8、彩色多普勒成像单元，频谱多普勒成像单元，包括脉冲多普勒、高脉冲重复频率、连续多普勒。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9、频谱自动测量软件，实时跟踪测量。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63BFB"/>
    <w:rsid w:val="13F6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2019-11-21T09:07:00Z</dcterms:created>
  <dc:creator>张轩</dc:creator>
  <cp:lastModifiedBy>张轩</cp:lastModifiedBy>
  <dcterms:modified xsi:type="dcterms:W3CDTF">2019-11-21T09:08:18Z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