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E08A86">
      <w:pPr>
        <w:pStyle w:val="3"/>
        <w:rPr>
          <w:rFonts w:hint="eastAsia"/>
        </w:rPr>
      </w:pPr>
      <w:bookmarkStart w:id="0" w:name="_Toc196727665"/>
      <w:bookmarkStart w:id="1" w:name="_Toc8524"/>
      <w:bookmarkStart w:id="2" w:name="_Toc117101187"/>
      <w:r>
        <w:t>医院绩效咨询服务具体要求</w:t>
      </w:r>
      <w:bookmarkEnd w:id="0"/>
      <w:bookmarkEnd w:id="1"/>
      <w:bookmarkEnd w:id="2"/>
    </w:p>
    <w:p w14:paraId="192F194A">
      <w:pPr>
        <w:pStyle w:val="4"/>
        <w:rPr>
          <w:rFonts w:hint="eastAsia"/>
        </w:rPr>
      </w:pPr>
      <w:bookmarkStart w:id="3" w:name="_Toc196727666"/>
      <w:bookmarkStart w:id="4" w:name="_Toc6885"/>
      <w:bookmarkStart w:id="5" w:name="_Toc117101188"/>
      <w:r>
        <w:t>整体要求</w:t>
      </w:r>
      <w:bookmarkEnd w:id="3"/>
      <w:bookmarkEnd w:id="4"/>
      <w:bookmarkEnd w:id="5"/>
    </w:p>
    <w:p w14:paraId="2D641B82">
      <w:pPr>
        <w:ind w:firstLine="480"/>
        <w:rPr>
          <w:rFonts w:hint="eastAsia"/>
        </w:rPr>
      </w:pPr>
      <w:r>
        <w:t>建立以工作量评价为基础，以RBRVS、</w:t>
      </w:r>
      <w:r>
        <w:rPr>
          <w:highlight w:val="none"/>
        </w:rPr>
        <w:t>DIP</w:t>
      </w:r>
      <w:r>
        <w:t>为工作量评价工具，以医院战略目标（扩大服务量、提高效率、优化种结构和收入结构）为导向，统筹效率、质量、成本、科研教学的绩效评价和分配体系，兼顾关键业绩指标和直接成本管控体系，实现绩效分配的公平性，符合卫健委九项准则要求，体现多劳多得，优绩优酬，保证医院的公益性要求。</w:t>
      </w:r>
    </w:p>
    <w:p w14:paraId="2EEBDFBF">
      <w:pPr>
        <w:pStyle w:val="4"/>
        <w:rPr>
          <w:rFonts w:hint="eastAsia"/>
        </w:rPr>
      </w:pPr>
      <w:bookmarkStart w:id="6" w:name="_Toc27758"/>
      <w:bookmarkStart w:id="7" w:name="_Toc196727667"/>
      <w:r>
        <w:rPr>
          <w:rFonts w:hint="eastAsia"/>
        </w:rPr>
        <w:t>临床医生、临床护理、医技科室绩效考核方案设计</w:t>
      </w:r>
      <w:bookmarkEnd w:id="6"/>
      <w:bookmarkEnd w:id="7"/>
      <w:r>
        <w:rPr>
          <w:rFonts w:hint="eastAsia" w:ascii="宋体" w:hAnsi="宋体" w:eastAsia="宋体" w:cs="宋体"/>
          <w:color w:val="000000"/>
          <w:sz w:val="21"/>
          <w:szCs w:val="21"/>
          <w:lang w:val="en-US" w:eastAsia="zh-CN"/>
        </w:rPr>
        <w:t>▲</w:t>
      </w:r>
    </w:p>
    <w:p w14:paraId="29F35E68">
      <w:pPr>
        <w:ind w:firstLine="480"/>
        <w:rPr>
          <w:rFonts w:hint="eastAsia"/>
        </w:rPr>
      </w:pPr>
      <w:r>
        <w:t>依据 RBRVS把全院医疗收费项目价格转换为绩效点数，作为衡量医师、护理、医技人员的工作量的基准。</w:t>
      </w:r>
      <w:r>
        <w:rPr>
          <w:rFonts w:hint="eastAsia"/>
        </w:rPr>
        <w:t>同时</w:t>
      </w:r>
      <w:r>
        <w:t>方案中应当体现服务量因素</w:t>
      </w:r>
      <w:r>
        <w:rPr>
          <w:rFonts w:hint="eastAsia"/>
        </w:rPr>
        <w:t>，</w:t>
      </w:r>
      <w:r>
        <w:t>把门诊人次、出院人次、</w:t>
      </w:r>
      <w:r>
        <w:rPr>
          <w:rFonts w:hint="eastAsia"/>
        </w:rPr>
        <w:t>手术人次、</w:t>
      </w:r>
      <w:r>
        <w:t>占床日</w:t>
      </w:r>
      <w:r>
        <w:rPr>
          <w:rFonts w:hint="eastAsia"/>
        </w:rPr>
        <w:t>数</w:t>
      </w:r>
      <w:r>
        <w:t>、</w:t>
      </w:r>
      <w:r>
        <w:rPr>
          <w:rFonts w:hint="eastAsia"/>
        </w:rPr>
        <w:t>检查化验人次等</w:t>
      </w:r>
      <w:r>
        <w:t>量化为绩效点数</w:t>
      </w:r>
      <w:r>
        <w:rPr>
          <w:rFonts w:hint="eastAsia"/>
        </w:rPr>
        <w:t>。</w:t>
      </w:r>
      <w:r>
        <w:t>实行临床、医技、护理等可执行 RBRVS 的核算单元分别进行绩效工资核算。</w:t>
      </w:r>
      <w:r>
        <w:rPr>
          <w:rFonts w:hint="eastAsia"/>
        </w:rPr>
        <w:t>医生绩效工资可按医疗组分配。</w:t>
      </w:r>
      <w:r>
        <w:t>对各护理单元有客观评价方案和方法，确定护理单元的之间的劳动差别</w:t>
      </w:r>
      <w:r>
        <w:rPr>
          <w:rFonts w:hint="eastAsia"/>
        </w:rPr>
        <w:t>。</w:t>
      </w:r>
      <w:r>
        <w:t>方案中应当设计体现医护分开后仍能保持医、护之间</w:t>
      </w:r>
      <w:r>
        <w:rPr>
          <w:rFonts w:hint="eastAsia"/>
        </w:rPr>
        <w:t>高效</w:t>
      </w:r>
      <w:r>
        <w:t>合作的方法，方法具有可操作性和公平性。方案中应当体现临床医生在研判分析检查、检验结果的劳动付出，但是不能以检查和检验项目的收入衡量医务人员的劳动付出。</w:t>
      </w:r>
    </w:p>
    <w:p w14:paraId="5CF4DD74">
      <w:pPr>
        <w:widowControl/>
        <w:spacing w:line="240" w:lineRule="auto"/>
        <w:ind w:firstLine="0" w:firstLineChars="0"/>
        <w:jc w:val="left"/>
        <w:rPr>
          <w:rFonts w:hint="eastAsia"/>
        </w:rPr>
      </w:pPr>
      <w:r>
        <w:t>各核算单元实行“院科</w:t>
      </w:r>
      <w:r>
        <w:rPr>
          <w:rFonts w:hint="eastAsia"/>
        </w:rPr>
        <w:t>（组）</w:t>
      </w:r>
      <w:r>
        <w:t>两级分配制度”，科室</w:t>
      </w:r>
      <w:r>
        <w:rPr>
          <w:rFonts w:hint="eastAsia"/>
        </w:rPr>
        <w:t>（医疗组）</w:t>
      </w:r>
      <w:r>
        <w:t>两级分配由科主任</w:t>
      </w:r>
      <w:r>
        <w:rPr>
          <w:rFonts w:hint="eastAsia"/>
        </w:rPr>
        <w:t>（医疗组长）</w:t>
      </w:r>
      <w:r>
        <w:t>、护士长负责，科</w:t>
      </w:r>
      <w:bookmarkStart w:id="8" w:name="page39"/>
      <w:bookmarkEnd w:id="8"/>
      <w:r>
        <w:rPr>
          <w:rFonts w:hint="eastAsia"/>
        </w:rPr>
        <w:t>（医疗组）</w:t>
      </w:r>
      <w:r>
        <w:t>内分配至个人，上交绩效管理部门核准，再由财务</w:t>
      </w:r>
      <w:r>
        <w:rPr>
          <w:rFonts w:hint="eastAsia"/>
        </w:rPr>
        <w:t>处</w:t>
      </w:r>
      <w:r>
        <w:t>发放到个人。</w:t>
      </w:r>
    </w:p>
    <w:p w14:paraId="1898C40B">
      <w:pPr>
        <w:pStyle w:val="4"/>
        <w:rPr>
          <w:rFonts w:hint="eastAsia"/>
        </w:rPr>
      </w:pPr>
      <w:bookmarkStart w:id="9" w:name="_Toc196727668"/>
      <w:bookmarkStart w:id="10" w:name="_Toc32067"/>
      <w:r>
        <w:rPr>
          <w:rFonts w:hint="eastAsia"/>
        </w:rPr>
        <w:t>挂号收费、出住院处、药学、供应室等科室绩效评价方案设计</w:t>
      </w:r>
      <w:bookmarkEnd w:id="9"/>
      <w:bookmarkEnd w:id="10"/>
    </w:p>
    <w:p w14:paraId="6ABB4552">
      <w:pPr>
        <w:ind w:firstLine="480"/>
        <w:rPr>
          <w:rFonts w:hint="eastAsia" w:eastAsia="宋体" w:cs="宋体"/>
          <w:szCs w:val="24"/>
        </w:rPr>
      </w:pPr>
      <w:r>
        <w:rPr>
          <w:rFonts w:hint="eastAsia" w:eastAsia="宋体" w:cs="宋体"/>
          <w:szCs w:val="24"/>
        </w:rPr>
        <w:t>对窗口和供应室等类型的科室，根据历史绩效水平和工作量，利用6-12个月的数据回归测算，测定每个工作项目（无医疗项目收费）的点数和点价格，并充分考虑与医护技科室的绩效工资水平差距，尊重历史绩效</w:t>
      </w:r>
      <w:bookmarkStart w:id="21" w:name="_GoBack"/>
      <w:bookmarkEnd w:id="21"/>
      <w:r>
        <w:rPr>
          <w:rFonts w:hint="eastAsia" w:eastAsia="宋体" w:cs="宋体"/>
          <w:szCs w:val="24"/>
        </w:rPr>
        <w:t>工资水平合理分配。</w:t>
      </w:r>
    </w:p>
    <w:p w14:paraId="33B43674">
      <w:pPr>
        <w:pStyle w:val="4"/>
        <w:rPr>
          <w:rFonts w:hint="eastAsia"/>
        </w:rPr>
      </w:pPr>
      <w:bookmarkStart w:id="11" w:name="_Toc196727669"/>
      <w:bookmarkStart w:id="12" w:name="_Toc14628"/>
      <w:r>
        <w:rPr>
          <w:rFonts w:hint="eastAsia"/>
        </w:rPr>
        <w:t>手术专项绩效评价方案设计</w:t>
      </w:r>
      <w:bookmarkEnd w:id="11"/>
      <w:bookmarkEnd w:id="12"/>
      <w:r>
        <w:rPr>
          <w:rFonts w:hint="eastAsia" w:ascii="宋体" w:hAnsi="宋体" w:eastAsia="宋体" w:cs="宋体"/>
          <w:color w:val="000000"/>
          <w:sz w:val="21"/>
          <w:szCs w:val="21"/>
          <w:lang w:val="en-US" w:eastAsia="zh-CN"/>
        </w:rPr>
        <w:t>▲</w:t>
      </w:r>
    </w:p>
    <w:p w14:paraId="7C371C30">
      <w:pPr>
        <w:ind w:firstLine="480"/>
        <w:rPr>
          <w:rFonts w:hint="eastAsia"/>
        </w:rPr>
      </w:pPr>
      <w:r>
        <w:rPr>
          <w:rFonts w:hint="eastAsia"/>
        </w:rPr>
        <w:t>根据医院实际情况，对手术进行单项绩效评价方案设计，利用历史数据和医院预期，针对不同科室类型，疾病复杂程度不同，服务人次数量等情况，进行基数测定，对手术难度和台次等多维度进行增量评价和激励。</w:t>
      </w:r>
    </w:p>
    <w:p w14:paraId="3AC328C2">
      <w:pPr>
        <w:pStyle w:val="4"/>
        <w:rPr>
          <w:rFonts w:hint="eastAsia"/>
        </w:rPr>
      </w:pPr>
      <w:bookmarkStart w:id="13" w:name="_Toc196727670"/>
      <w:bookmarkStart w:id="14" w:name="_Toc32338"/>
      <w:r>
        <w:rPr>
          <w:rFonts w:hint="eastAsia"/>
        </w:rPr>
        <w:t>科室直接成本管控方案设计</w:t>
      </w:r>
      <w:bookmarkEnd w:id="13"/>
      <w:bookmarkEnd w:id="14"/>
    </w:p>
    <w:p w14:paraId="6BFF6447">
      <w:pPr>
        <w:ind w:firstLine="480"/>
        <w:rPr>
          <w:rFonts w:hint="eastAsia"/>
        </w:rPr>
      </w:pPr>
      <w:r>
        <w:t>所有核算单元以直接成本做为管理口径，绩效方案设计要把直接成本全部纳入绩效工资核算管理，包含房屋折旧、人力成本、设备折旧等直接固定成本，包含卫生材料、药品、办公用品、医辅部门发生的费用等直接变动成本。同时应把医院现有的物流系统区分为可收费和不可收费两部分卫生材料，在此基础上再区分为高值耗材与低值耗材两部分材料进行成本管控，达到精细化成本管理的目的。</w:t>
      </w:r>
    </w:p>
    <w:p w14:paraId="23849C79">
      <w:pPr>
        <w:pStyle w:val="4"/>
        <w:rPr>
          <w:rFonts w:hint="eastAsia"/>
        </w:rPr>
      </w:pPr>
      <w:bookmarkStart w:id="15" w:name="_Toc14474"/>
      <w:bookmarkStart w:id="16" w:name="_Toc196727671"/>
      <w:r>
        <w:rPr>
          <w:rFonts w:hint="eastAsia"/>
        </w:rPr>
        <w:t>核算单元嵌入关键考核指标方案</w:t>
      </w:r>
      <w:bookmarkEnd w:id="15"/>
      <w:bookmarkEnd w:id="16"/>
    </w:p>
    <w:p w14:paraId="3C131921">
      <w:pPr>
        <w:ind w:firstLine="480"/>
        <w:rPr>
          <w:rFonts w:hint="eastAsia" w:eastAsia="宋体" w:cs="宋体"/>
          <w:szCs w:val="24"/>
        </w:rPr>
      </w:pPr>
      <w:r>
        <w:rPr>
          <w:rFonts w:hint="eastAsia" w:eastAsia="宋体" w:cs="宋体"/>
          <w:szCs w:val="24"/>
        </w:rPr>
        <w:t>对各核算单元的嵌入关键考核指标，提供指导意见。</w:t>
      </w:r>
    </w:p>
    <w:p w14:paraId="6F8AC71B">
      <w:pPr>
        <w:ind w:firstLine="480"/>
        <w:rPr>
          <w:rFonts w:hint="eastAsia" w:eastAsia="宋体" w:cs="宋体"/>
          <w:szCs w:val="24"/>
        </w:rPr>
      </w:pPr>
      <w:r>
        <w:rPr>
          <w:rFonts w:hint="eastAsia" w:eastAsia="宋体" w:cs="宋体"/>
          <w:szCs w:val="24"/>
        </w:rPr>
        <w:t>可以为全院各类别科室设计基于KPI的关键业绩指标绩效考核方案，要求考核项符合“SMART”原则，考核负责人，考核周期，数据提供，考核标准，得分方法清晰准确。</w:t>
      </w:r>
    </w:p>
    <w:p w14:paraId="24151CA6">
      <w:pPr>
        <w:pStyle w:val="4"/>
        <w:rPr>
          <w:rFonts w:hint="eastAsia"/>
        </w:rPr>
      </w:pPr>
      <w:bookmarkStart w:id="17" w:name="_Toc196727672"/>
      <w:bookmarkStart w:id="18" w:name="_Toc20491"/>
      <w:r>
        <w:rPr>
          <w:rFonts w:hint="eastAsia"/>
        </w:rPr>
        <w:t>二次分配指导意见方案设计</w:t>
      </w:r>
      <w:bookmarkEnd w:id="17"/>
      <w:bookmarkEnd w:id="18"/>
    </w:p>
    <w:p w14:paraId="6647D680">
      <w:pPr>
        <w:ind w:firstLine="480"/>
        <w:rPr>
          <w:rFonts w:hint="eastAsia" w:eastAsia="宋体" w:cs="宋体"/>
          <w:szCs w:val="24"/>
        </w:rPr>
      </w:pPr>
      <w:r>
        <w:rPr>
          <w:rFonts w:hint="eastAsia"/>
        </w:rPr>
        <w:t>提供二次分配指导意见方案。指导各核算单元在基于本方案指导意见的基础上，综合考虑工作量、工作质量、贡献程度、岗位、风险、职称等因素制定符合</w:t>
      </w:r>
      <w:r>
        <w:rPr>
          <w:rFonts w:hint="eastAsia"/>
          <w:spacing w:val="-2"/>
        </w:rPr>
        <w:t>本核算单元实际情况的二次分配方案，避免平均分配。</w:t>
      </w:r>
      <w:r>
        <w:rPr>
          <w:rFonts w:hint="eastAsia"/>
        </w:rPr>
        <w:t>各科室可通过软件系统把二次分配方案上传至绩效管理部门、财务部门，审核后发放。</w:t>
      </w:r>
    </w:p>
    <w:p w14:paraId="3B1DC513">
      <w:pPr>
        <w:pStyle w:val="4"/>
        <w:rPr>
          <w:rFonts w:hint="eastAsia"/>
        </w:rPr>
      </w:pPr>
      <w:bookmarkStart w:id="19" w:name="_Toc196727674"/>
      <w:bookmarkStart w:id="20" w:name="_Toc19643"/>
      <w:r>
        <w:t>DIP绩效方案设计</w:t>
      </w:r>
      <w:bookmarkEnd w:id="19"/>
      <w:bookmarkEnd w:id="20"/>
    </w:p>
    <w:p w14:paraId="6D5FD988">
      <w:pPr>
        <w:ind w:firstLine="480"/>
        <w:rPr>
          <w:rFonts w:hint="eastAsia"/>
        </w:rPr>
      </w:pPr>
      <w:r>
        <w:rPr>
          <w:rFonts w:hint="eastAsia"/>
        </w:rPr>
        <w:t>根据医保支付的特点，差异化设计门诊和住院的绩效方案。</w:t>
      </w:r>
    </w:p>
    <w:p w14:paraId="11291B43">
      <w:pPr>
        <w:ind w:firstLine="480"/>
        <w:rPr>
          <w:rFonts w:hint="eastAsia"/>
        </w:rPr>
      </w:pPr>
      <w:r>
        <w:rPr>
          <w:rFonts w:hint="eastAsia"/>
        </w:rPr>
        <w:t>绩效方案中要考虑提高医院CMI值的具体举措。</w:t>
      </w:r>
    </w:p>
    <w:p w14:paraId="4EF3B65C">
      <w:pPr>
        <w:ind w:firstLine="480"/>
        <w:rPr>
          <w:rFonts w:hint="eastAsia"/>
        </w:rPr>
      </w:pPr>
      <w:r>
        <w:rPr>
          <w:rFonts w:hint="eastAsia"/>
        </w:rPr>
        <w:t>在医院医保DIP付费数据的基础上设计成本管控方案。</w:t>
      </w:r>
    </w:p>
    <w:p w14:paraId="574DA518">
      <w:pPr>
        <w:pStyle w:val="3"/>
        <w:rPr>
          <w:rFonts w:hint="eastAsia"/>
        </w:rPr>
      </w:pPr>
      <w:r>
        <w:rPr>
          <w:rFonts w:hint="eastAsia"/>
          <w:lang w:val="en-US" w:eastAsia="zh-CN"/>
        </w:rPr>
        <w:t>绩效管理系统软件需求参数</w:t>
      </w:r>
    </w:p>
    <w:tbl>
      <w:tblPr>
        <w:tblStyle w:val="30"/>
        <w:tblW w:w="94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39"/>
        <w:gridCol w:w="8"/>
        <w:gridCol w:w="1393"/>
        <w:gridCol w:w="8"/>
        <w:gridCol w:w="6750"/>
        <w:gridCol w:w="7"/>
      </w:tblGrid>
      <w:tr w14:paraId="6111E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330" w:hRule="atLeast"/>
        </w:trPr>
        <w:tc>
          <w:tcPr>
            <w:tcW w:w="1247" w:type="dxa"/>
            <w:gridSpan w:val="2"/>
            <w:tcBorders>
              <w:top w:val="single" w:color="000000" w:sz="4" w:space="0"/>
              <w:left w:val="single" w:color="000000" w:sz="4" w:space="0"/>
              <w:bottom w:val="single" w:color="000000" w:sz="4" w:space="0"/>
              <w:right w:val="single" w:color="000000" w:sz="4" w:space="0"/>
            </w:tcBorders>
            <w:shd w:val="clear" w:color="auto" w:fill="C0C0C0"/>
            <w:vAlign w:val="center"/>
          </w:tcPr>
          <w:p w14:paraId="2F6533C3">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功能模块</w:t>
            </w:r>
          </w:p>
        </w:tc>
        <w:tc>
          <w:tcPr>
            <w:tcW w:w="1393"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304CC14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二级功能</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C0C0C0"/>
            <w:vAlign w:val="center"/>
          </w:tcPr>
          <w:p w14:paraId="4B33FC3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功能要求</w:t>
            </w:r>
          </w:p>
        </w:tc>
      </w:tr>
      <w:tr w14:paraId="4B914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2310" w:hRule="atLeast"/>
        </w:trPr>
        <w:tc>
          <w:tcPr>
            <w:tcW w:w="12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EE21A">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数据维护</w:t>
            </w: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85DF">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数据维护</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EFF17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据维护模块用于系统基础字典与业务参数的配置管理，覆盖医疗服务项目、药品信息、绩效核算多类基础数据。支持康复技师组目录、手术单项目录、手术编码、微创手术目录、新技术项目、中药库药品信息等医疗业务基础目录维护；同时可完成体检收入、扣款维护、RW 权重、RW 权重明细、负责人绩效人数、科室负责人绩效、职能科室系数、职务系数等绩效相关参数的维护操作，提供数据新增、修改、查询等能力，保障全院业务统计、DRG/RW 核算、科室绩效计算的数据源头准确、可配置。</w:t>
            </w:r>
          </w:p>
        </w:tc>
      </w:tr>
      <w:tr w14:paraId="0DD26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D2D8C1">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一次计算</w:t>
            </w: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C2DCD">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一次评价计算</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B3AB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用于医院对各核算单元按月份进行一次计算，并对结果进行封账和发布</w:t>
            </w:r>
            <w:r>
              <w:rPr>
                <w:rFonts w:hint="eastAsia" w:ascii="宋体" w:hAnsi="宋体" w:eastAsia="宋体" w:cs="宋体"/>
                <w:color w:val="000000"/>
                <w:sz w:val="21"/>
                <w:szCs w:val="21"/>
                <w:lang w:val="en-US" w:eastAsia="zh-CN"/>
              </w:rPr>
              <w:t>▲</w:t>
            </w:r>
          </w:p>
        </w:tc>
      </w:tr>
      <w:tr w14:paraId="0DA87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99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894B9">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43590">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评价模型管理</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51375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用于针对不同核算单元配置绩效评价体系，支持通过可视化的公式编辑器，将项目点数、服务量、标签及手工数据等评价要素进行组合。不同核算单元之间可以覆盖、引用计算公式</w:t>
            </w:r>
            <w:r>
              <w:rPr>
                <w:rFonts w:hint="eastAsia" w:ascii="宋体" w:hAnsi="宋体" w:eastAsia="宋体" w:cs="宋体"/>
                <w:color w:val="000000"/>
                <w:sz w:val="21"/>
                <w:szCs w:val="21"/>
                <w:lang w:val="en-US" w:eastAsia="zh-CN"/>
              </w:rPr>
              <w:t>▲</w:t>
            </w:r>
          </w:p>
        </w:tc>
      </w:tr>
      <w:tr w14:paraId="44F6B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05B35">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1A93F">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项目分组管理</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0F8B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用于对HIS收费项目进行自定义分组</w:t>
            </w:r>
          </w:p>
        </w:tc>
      </w:tr>
      <w:tr w14:paraId="299A4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DB8E9">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432BA">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标签管理</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FB139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用于定义绩效核算中标签字典以及各核算单元的标签数值</w:t>
            </w:r>
            <w:r>
              <w:rPr>
                <w:rFonts w:hint="eastAsia" w:ascii="宋体" w:hAnsi="宋体" w:eastAsia="宋体" w:cs="宋体"/>
                <w:color w:val="000000"/>
                <w:sz w:val="21"/>
                <w:szCs w:val="21"/>
                <w:lang w:val="en-US" w:eastAsia="zh-CN"/>
              </w:rPr>
              <w:t>▲</w:t>
            </w:r>
          </w:p>
        </w:tc>
      </w:tr>
      <w:tr w14:paraId="20A11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D2C82">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07636">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项目点数维护</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4EF3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用于维护收费项目字典以及各核算单元的执行点数和协作点数</w:t>
            </w:r>
            <w:r>
              <w:rPr>
                <w:rFonts w:hint="eastAsia" w:ascii="宋体" w:hAnsi="宋体" w:eastAsia="宋体" w:cs="宋体"/>
                <w:color w:val="000000"/>
                <w:sz w:val="21"/>
                <w:szCs w:val="21"/>
                <w:lang w:val="en-US" w:eastAsia="zh-CN"/>
              </w:rPr>
              <w:t>▲</w:t>
            </w:r>
          </w:p>
        </w:tc>
      </w:tr>
      <w:tr w14:paraId="5ED25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EA305">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4BDE">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手工数据管理</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8DCE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用于针对各核算单元按月录入、维护及导入无法通过HIS系统自动采集的数据</w:t>
            </w:r>
            <w:r>
              <w:rPr>
                <w:rFonts w:hint="eastAsia" w:ascii="宋体" w:hAnsi="宋体" w:eastAsia="宋体" w:cs="宋体"/>
                <w:color w:val="000000"/>
                <w:sz w:val="21"/>
                <w:szCs w:val="21"/>
                <w:lang w:val="en-US" w:eastAsia="zh-CN"/>
              </w:rPr>
              <w:t>▲</w:t>
            </w:r>
          </w:p>
        </w:tc>
      </w:tr>
      <w:tr w14:paraId="36224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0C743A">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二次分配</w:t>
            </w: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B888">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科室分配项目</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CC43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用于定义和配置科室二次分配项目的函数</w:t>
            </w:r>
          </w:p>
        </w:tc>
      </w:tr>
      <w:tr w14:paraId="00C4E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7F765">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0AB79">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科室绩效发布</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CA316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按照月份计算各发放单元的绩效，并进行发布或撤回</w:t>
            </w:r>
          </w:p>
        </w:tc>
      </w:tr>
      <w:tr w14:paraId="7EABD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66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CF0FA">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26C3">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科室绩效调剂</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8BA4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用于配置特定用户的调剂操作权限范围，并支持在绩效发布后对指定核算单元的绩效金额进行调整</w:t>
            </w:r>
          </w:p>
        </w:tc>
      </w:tr>
      <w:tr w14:paraId="51CCF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66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219F4">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78D93">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科室绩效分配</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9D11E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科室按照手动录入或导入的方式将已发布的各项目绩效金额分配到各职工，并进行审核提交</w:t>
            </w:r>
            <w:r>
              <w:rPr>
                <w:rFonts w:hint="eastAsia" w:ascii="宋体" w:hAnsi="宋体" w:eastAsia="宋体" w:cs="宋体"/>
                <w:color w:val="000000"/>
                <w:sz w:val="21"/>
                <w:szCs w:val="21"/>
                <w:lang w:val="en-US" w:eastAsia="zh-CN"/>
              </w:rPr>
              <w:t>▲</w:t>
            </w:r>
          </w:p>
        </w:tc>
      </w:tr>
      <w:tr w14:paraId="5B858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73732">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BD7BF">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科室绩效审核</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EC04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用于对科室已完成二次分配的结果进行审核，支持管理人员通过或驳回操作</w:t>
            </w:r>
          </w:p>
        </w:tc>
      </w:tr>
      <w:tr w14:paraId="7FAF6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7870E">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59CE">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科室分配查询</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1B532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用于按月份和发放单元检索并查看科室二次分配后的个人绩效明细</w:t>
            </w:r>
          </w:p>
        </w:tc>
      </w:tr>
      <w:tr w14:paraId="297C6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036F86">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专项绩效</w:t>
            </w: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EEA5">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专项绩效管理</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B9CD0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用于维护各类专项绩效的计算函数以及表结构</w:t>
            </w:r>
          </w:p>
        </w:tc>
      </w:tr>
      <w:tr w14:paraId="1851C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6C7DF">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D1A8">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专项绩效查询</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5D6A5">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按月查询各核算单元的各专项绩效明细数据，并进行归档</w:t>
            </w:r>
            <w:r>
              <w:rPr>
                <w:rFonts w:hint="eastAsia" w:ascii="宋体" w:hAnsi="宋体" w:eastAsia="宋体" w:cs="宋体"/>
                <w:color w:val="000000"/>
                <w:sz w:val="21"/>
                <w:szCs w:val="21"/>
                <w:lang w:val="en-US" w:eastAsia="zh-CN"/>
              </w:rPr>
              <w:t>▲</w:t>
            </w:r>
          </w:p>
        </w:tc>
      </w:tr>
      <w:tr w14:paraId="54028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867463">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成本数据</w:t>
            </w: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4FA5">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成本数据管理</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84F3F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按月份导入各核算单元的成本</w:t>
            </w:r>
          </w:p>
        </w:tc>
      </w:tr>
      <w:tr w14:paraId="2FBE4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973F5">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29FB2">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成本科目维护</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EB9DD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用于定义成本科目字典</w:t>
            </w:r>
          </w:p>
        </w:tc>
      </w:tr>
      <w:tr w14:paraId="1DB30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59405D">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KPI管理</w:t>
            </w: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53DC4">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指标模板</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0DA39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定义考核指标模板，分为标准型和区间型的计算方式</w:t>
            </w:r>
          </w:p>
        </w:tc>
      </w:tr>
      <w:tr w14:paraId="468BF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66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FB528">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66B5F">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科室指标</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2DBEC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按月定义各核算单元的考核指标，支持从模板中选择或引用其他核算单元的指标</w:t>
            </w:r>
          </w:p>
        </w:tc>
      </w:tr>
      <w:tr w14:paraId="6963F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99AEE">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36FB2">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指标录入</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86FF9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按月录入可打分的核算单元的指标数值</w:t>
            </w:r>
          </w:p>
        </w:tc>
      </w:tr>
      <w:tr w14:paraId="6CFF0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F14D8">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8C73D">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得分计算</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9AF55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按科室指标计算科室得分</w:t>
            </w:r>
          </w:p>
        </w:tc>
      </w:tr>
      <w:tr w14:paraId="62667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D5DF3">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C059D">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得分查询</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6F363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查询各科室的得分情况</w:t>
            </w:r>
          </w:p>
        </w:tc>
      </w:tr>
      <w:tr w14:paraId="38100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2D491">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参数管理</w:t>
            </w: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48A23">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函数管理</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3CE27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用于自定义医院绩效核算所需的各类计算函数</w:t>
            </w:r>
          </w:p>
        </w:tc>
      </w:tr>
      <w:tr w14:paraId="2F562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ADC788">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sz w:val="24"/>
                <w:szCs w:val="24"/>
                <w:u w:val="none"/>
                <w:lang w:val="en-US" w:eastAsia="zh-CN"/>
              </w:rPr>
            </w:pPr>
            <w:r>
              <w:rPr>
                <w:rFonts w:hint="eastAsia" w:eastAsia="宋体" w:cs="宋体"/>
                <w:i w:val="0"/>
                <w:iCs w:val="0"/>
                <w:color w:val="000000"/>
                <w:sz w:val="24"/>
                <w:szCs w:val="24"/>
                <w:u w:val="none"/>
                <w:lang w:val="en-US" w:eastAsia="zh-CN"/>
              </w:rPr>
              <w:t>运营分析</w:t>
            </w: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23E25">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数据采集</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4899A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按月采集HIS的业务数据</w:t>
            </w:r>
          </w:p>
        </w:tc>
      </w:tr>
      <w:tr w14:paraId="6C04B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ECD12">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F08FF">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科室后台明细</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0521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按月查询一次计算后各核算单元的后台明细</w:t>
            </w:r>
          </w:p>
        </w:tc>
      </w:tr>
      <w:tr w14:paraId="503D7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A5F0C">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9DE8E">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科室工作量报表</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E0824">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按月查询各科室的各类工作量</w:t>
            </w:r>
            <w:r>
              <w:rPr>
                <w:rFonts w:hint="eastAsia" w:ascii="宋体" w:hAnsi="宋体" w:eastAsia="宋体" w:cs="宋体"/>
                <w:color w:val="000000"/>
                <w:sz w:val="21"/>
                <w:szCs w:val="21"/>
                <w:lang w:val="en-US" w:eastAsia="zh-CN"/>
              </w:rPr>
              <w:t>▲</w:t>
            </w:r>
          </w:p>
        </w:tc>
      </w:tr>
      <w:tr w14:paraId="534F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DE89E">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F7CF8">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科室成本报表</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B862E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按月查询各科室的成本</w:t>
            </w:r>
          </w:p>
        </w:tc>
      </w:tr>
      <w:tr w14:paraId="37F94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52D09">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920F8">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绩效公式计算明细</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F8B60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按月查询各核算单元的绩效计算公式，以及绩效数值和项目点数</w:t>
            </w:r>
            <w:r>
              <w:rPr>
                <w:rFonts w:hint="eastAsia" w:ascii="宋体" w:hAnsi="宋体" w:eastAsia="宋体" w:cs="宋体"/>
                <w:color w:val="000000"/>
                <w:sz w:val="21"/>
                <w:szCs w:val="21"/>
                <w:lang w:val="en-US" w:eastAsia="zh-CN"/>
              </w:rPr>
              <w:t>▲</w:t>
            </w:r>
          </w:p>
        </w:tc>
      </w:tr>
      <w:tr w14:paraId="7408B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CD748">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C88B6">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绩效公式构成</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E7B69A">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按月查询各核算单元的绩效公式构成数值</w:t>
            </w:r>
          </w:p>
        </w:tc>
      </w:tr>
      <w:tr w14:paraId="01DCE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6AA26">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518D2">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项目点数构成</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67E20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按月查询各核算单元的项目点数规则数值</w:t>
            </w:r>
            <w:r>
              <w:rPr>
                <w:rFonts w:hint="eastAsia" w:ascii="宋体" w:hAnsi="宋体" w:eastAsia="宋体" w:cs="宋体"/>
                <w:color w:val="000000"/>
                <w:sz w:val="21"/>
                <w:szCs w:val="21"/>
                <w:lang w:val="en-US" w:eastAsia="zh-CN"/>
              </w:rPr>
              <w:t>▲</w:t>
            </w:r>
          </w:p>
        </w:tc>
      </w:tr>
      <w:tr w14:paraId="085C7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37A14">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eastAsia="宋体" w:cs="宋体"/>
                <w:i w:val="0"/>
                <w:iCs w:val="0"/>
                <w:color w:val="000000"/>
                <w:kern w:val="0"/>
                <w:sz w:val="24"/>
                <w:szCs w:val="24"/>
                <w:u w:val="none"/>
                <w:lang w:val="en-US" w:eastAsia="zh-CN" w:bidi="ar"/>
              </w:rPr>
              <w:t>业务组织</w:t>
            </w:r>
            <w:r>
              <w:rPr>
                <w:rFonts w:hint="eastAsia" w:ascii="宋体" w:hAnsi="宋体" w:eastAsia="宋体" w:cs="宋体"/>
                <w:i w:val="0"/>
                <w:iCs w:val="0"/>
                <w:color w:val="000000"/>
                <w:kern w:val="0"/>
                <w:sz w:val="24"/>
                <w:szCs w:val="24"/>
                <w:u w:val="none"/>
                <w:lang w:val="en-US" w:eastAsia="zh-CN" w:bidi="ar"/>
              </w:rPr>
              <w:t>架构</w:t>
            </w: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4F1AD">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核算单元</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C7433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按照医生、护理、医技、医辅、行管构建核算单元</w:t>
            </w:r>
            <w:r>
              <w:rPr>
                <w:rFonts w:hint="eastAsia" w:ascii="宋体" w:hAnsi="宋体" w:eastAsia="宋体" w:cs="宋体"/>
                <w:color w:val="000000"/>
                <w:sz w:val="21"/>
                <w:szCs w:val="21"/>
                <w:lang w:val="en-US" w:eastAsia="zh-CN"/>
              </w:rPr>
              <w:t>▲</w:t>
            </w:r>
          </w:p>
        </w:tc>
      </w:tr>
      <w:tr w14:paraId="7D7DD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90CBF">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2CD8">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发放单元</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8F323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用于定义和管理医院绩效奖金的实际发放组织对象，且关联核算单元</w:t>
            </w:r>
            <w:r>
              <w:rPr>
                <w:rFonts w:hint="eastAsia" w:ascii="宋体" w:hAnsi="宋体" w:eastAsia="宋体" w:cs="宋体"/>
                <w:color w:val="000000"/>
                <w:sz w:val="21"/>
                <w:szCs w:val="21"/>
                <w:lang w:val="en-US" w:eastAsia="zh-CN"/>
              </w:rPr>
              <w:t>▲</w:t>
            </w:r>
          </w:p>
        </w:tc>
      </w:tr>
      <w:tr w14:paraId="09C07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3829A">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B5066">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医院科室</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58225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用于维护医院HIS、挂号等科室，且关联核算单元</w:t>
            </w:r>
          </w:p>
        </w:tc>
      </w:tr>
      <w:tr w14:paraId="584BB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3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E5350">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2FA2C">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医疗组管理</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ACB2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用于维护医院医疗组，且关联核算单元</w:t>
            </w:r>
          </w:p>
        </w:tc>
      </w:tr>
      <w:tr w14:paraId="24098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660"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C2D1F">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88C3E">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用户管理</w:t>
            </w:r>
          </w:p>
        </w:tc>
        <w:tc>
          <w:tcPr>
            <w:tcW w:w="6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18CB7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用于维护医院绩效管理系统中的操作员账号信息，并将账号与具体的核算单元及组织架构进行绑定，同时支持对账号状态及权限进行管理</w:t>
            </w:r>
          </w:p>
        </w:tc>
      </w:tr>
      <w:tr w14:paraId="03A3A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12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B5D1D">
            <w:pPr>
              <w:keepNext w:val="0"/>
              <w:keepLines w:val="0"/>
              <w:widowControl/>
              <w:suppressLineNumbers w:val="0"/>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数据模型管理</w:t>
            </w:r>
          </w:p>
        </w:tc>
        <w:tc>
          <w:tcPr>
            <w:tcW w:w="14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65C0F">
            <w:pPr>
              <w:keepNext w:val="0"/>
              <w:keepLines w:val="0"/>
              <w:widowControl/>
              <w:suppressLineNumbers w:val="0"/>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数据连接</w:t>
            </w:r>
          </w:p>
        </w:tc>
        <w:tc>
          <w:tcPr>
            <w:tcW w:w="67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77B573">
            <w:pPr>
              <w:keepNext w:val="0"/>
              <w:keepLines w:val="0"/>
              <w:widowControl/>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在线设置设计连接，包括多种不同数据源的数据进行统一数据连接管理，实现业务应用编排过程调用</w:t>
            </w:r>
          </w:p>
        </w:tc>
      </w:tr>
      <w:tr w14:paraId="24539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3A114">
            <w:pPr>
              <w:jc w:val="center"/>
              <w:rPr>
                <w:rFonts w:hint="eastAsia" w:asciiTheme="majorEastAsia" w:hAnsiTheme="majorEastAsia" w:eastAsiaTheme="majorEastAsia" w:cstheme="majorEastAsia"/>
                <w:i w:val="0"/>
                <w:iCs w:val="0"/>
                <w:color w:val="000000"/>
                <w:sz w:val="24"/>
                <w:szCs w:val="24"/>
                <w:u w:val="none"/>
              </w:rPr>
            </w:pPr>
          </w:p>
        </w:tc>
        <w:tc>
          <w:tcPr>
            <w:tcW w:w="14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6F4CC">
            <w:pPr>
              <w:keepNext w:val="0"/>
              <w:keepLines w:val="0"/>
              <w:widowControl/>
              <w:suppressLineNumbers w:val="0"/>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数据建模</w:t>
            </w:r>
          </w:p>
        </w:tc>
        <w:tc>
          <w:tcPr>
            <w:tcW w:w="67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8170E1">
            <w:pPr>
              <w:keepNext w:val="0"/>
              <w:keepLines w:val="0"/>
              <w:widowControl/>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支持在线数据建模，包括模型的名称、标识、模型字段的大小、类型、含义、格式等功能</w:t>
            </w:r>
            <w:r>
              <w:rPr>
                <w:rFonts w:hint="eastAsia" w:ascii="宋体" w:hAnsi="宋体" w:eastAsia="宋体" w:cs="宋体"/>
                <w:color w:val="000000"/>
                <w:sz w:val="21"/>
                <w:szCs w:val="21"/>
                <w:lang w:val="en-US" w:eastAsia="zh-CN"/>
              </w:rPr>
              <w:t>▲</w:t>
            </w:r>
          </w:p>
        </w:tc>
      </w:tr>
      <w:tr w14:paraId="7DB63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2EEEC">
            <w:pPr>
              <w:jc w:val="center"/>
              <w:rPr>
                <w:rFonts w:hint="eastAsia" w:asciiTheme="majorEastAsia" w:hAnsiTheme="majorEastAsia" w:eastAsiaTheme="majorEastAsia" w:cstheme="majorEastAsia"/>
                <w:i w:val="0"/>
                <w:iCs w:val="0"/>
                <w:color w:val="000000"/>
                <w:sz w:val="24"/>
                <w:szCs w:val="24"/>
                <w:u w:val="none"/>
              </w:rPr>
            </w:pPr>
          </w:p>
        </w:tc>
        <w:tc>
          <w:tcPr>
            <w:tcW w:w="14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D5B4D">
            <w:pPr>
              <w:keepNext w:val="0"/>
              <w:keepLines w:val="0"/>
              <w:widowControl/>
              <w:suppressLineNumbers w:val="0"/>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数据接口</w:t>
            </w:r>
          </w:p>
        </w:tc>
        <w:tc>
          <w:tcPr>
            <w:tcW w:w="67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F45768">
            <w:pPr>
              <w:keepNext w:val="0"/>
              <w:keepLines w:val="0"/>
              <w:widowControl/>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可以实现数据接口分类，接口在线设计，即时发布，供系统调用或第三方系统调用</w:t>
            </w:r>
            <w:r>
              <w:rPr>
                <w:rFonts w:hint="eastAsia" w:ascii="宋体" w:hAnsi="宋体" w:eastAsia="宋体" w:cs="宋体"/>
                <w:color w:val="000000"/>
                <w:sz w:val="21"/>
                <w:szCs w:val="21"/>
                <w:lang w:val="en-US" w:eastAsia="zh-CN"/>
              </w:rPr>
              <w:t>▲</w:t>
            </w:r>
          </w:p>
        </w:tc>
      </w:tr>
      <w:tr w14:paraId="492F8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F4DF6">
            <w:pPr>
              <w:jc w:val="center"/>
              <w:rPr>
                <w:rFonts w:hint="eastAsia" w:asciiTheme="majorEastAsia" w:hAnsiTheme="majorEastAsia" w:eastAsiaTheme="majorEastAsia" w:cstheme="majorEastAsia"/>
                <w:i w:val="0"/>
                <w:iCs w:val="0"/>
                <w:color w:val="000000"/>
                <w:sz w:val="24"/>
                <w:szCs w:val="24"/>
                <w:u w:val="none"/>
              </w:rPr>
            </w:pPr>
          </w:p>
        </w:tc>
        <w:tc>
          <w:tcPr>
            <w:tcW w:w="14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7516B">
            <w:pPr>
              <w:keepNext w:val="0"/>
              <w:keepLines w:val="0"/>
              <w:widowControl/>
              <w:suppressLineNumbers w:val="0"/>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接口认证</w:t>
            </w:r>
          </w:p>
        </w:tc>
        <w:tc>
          <w:tcPr>
            <w:tcW w:w="67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C66560">
            <w:pPr>
              <w:keepNext w:val="0"/>
              <w:keepLines w:val="0"/>
              <w:widowControl/>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支持接口认证管理，包括appid、秘钥、应用名称、验证签名、使用期限、白名单、排序、状态等</w:t>
            </w:r>
          </w:p>
        </w:tc>
      </w:tr>
      <w:tr w14:paraId="664AA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12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97AA2">
            <w:pPr>
              <w:keepNext w:val="0"/>
              <w:keepLines w:val="0"/>
              <w:widowControl/>
              <w:suppressLineNumbers w:val="0"/>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系统管理</w:t>
            </w:r>
          </w:p>
        </w:tc>
        <w:tc>
          <w:tcPr>
            <w:tcW w:w="14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16927">
            <w:pPr>
              <w:keepNext w:val="0"/>
              <w:keepLines w:val="0"/>
              <w:widowControl/>
              <w:suppressLineNumbers w:val="0"/>
              <w:spacing w:line="240" w:lineRule="auto"/>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系统配置</w:t>
            </w:r>
          </w:p>
        </w:tc>
        <w:tc>
          <w:tcPr>
            <w:tcW w:w="67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66C57A">
            <w:pPr>
              <w:keepNext w:val="0"/>
              <w:keepLines w:val="0"/>
              <w:widowControl/>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支持系统基本设置、安全设置、同步设置、管理员设置、流程等公共设置</w:t>
            </w:r>
          </w:p>
        </w:tc>
      </w:tr>
      <w:tr w14:paraId="193EF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DD57">
            <w:pPr>
              <w:jc w:val="center"/>
              <w:rPr>
                <w:rFonts w:hint="eastAsia" w:asciiTheme="majorEastAsia" w:hAnsiTheme="majorEastAsia" w:eastAsiaTheme="majorEastAsia" w:cstheme="majorEastAsia"/>
                <w:i w:val="0"/>
                <w:iCs w:val="0"/>
                <w:color w:val="000000"/>
                <w:sz w:val="24"/>
                <w:szCs w:val="24"/>
                <w:u w:val="none"/>
              </w:rPr>
            </w:pPr>
          </w:p>
        </w:tc>
        <w:tc>
          <w:tcPr>
            <w:tcW w:w="14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15130">
            <w:pPr>
              <w:keepNext w:val="0"/>
              <w:keepLines w:val="0"/>
              <w:widowControl/>
              <w:suppressLineNumbers w:val="0"/>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审计日志</w:t>
            </w:r>
          </w:p>
        </w:tc>
        <w:tc>
          <w:tcPr>
            <w:tcW w:w="67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5854D1">
            <w:pPr>
              <w:keepNext w:val="0"/>
              <w:keepLines w:val="0"/>
              <w:widowControl/>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可以对系统的登录情况、请求日志、操作日志、异常日志进行日志审计</w:t>
            </w:r>
            <w:r>
              <w:rPr>
                <w:rFonts w:hint="eastAsia" w:ascii="宋体" w:hAnsi="宋体" w:eastAsia="宋体" w:cs="宋体"/>
                <w:color w:val="000000"/>
                <w:sz w:val="21"/>
                <w:szCs w:val="21"/>
                <w:lang w:val="en-US" w:eastAsia="zh-CN"/>
              </w:rPr>
              <w:t>▲</w:t>
            </w:r>
          </w:p>
        </w:tc>
      </w:tr>
      <w:tr w14:paraId="4B852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3D52">
            <w:pPr>
              <w:jc w:val="center"/>
              <w:rPr>
                <w:rFonts w:hint="eastAsia" w:asciiTheme="majorEastAsia" w:hAnsiTheme="majorEastAsia" w:eastAsiaTheme="majorEastAsia" w:cstheme="majorEastAsia"/>
                <w:i w:val="0"/>
                <w:iCs w:val="0"/>
                <w:color w:val="000000"/>
                <w:sz w:val="24"/>
                <w:szCs w:val="24"/>
                <w:u w:val="none"/>
              </w:rPr>
            </w:pPr>
          </w:p>
        </w:tc>
        <w:tc>
          <w:tcPr>
            <w:tcW w:w="14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D9F9E">
            <w:pPr>
              <w:keepNext w:val="0"/>
              <w:keepLines w:val="0"/>
              <w:widowControl/>
              <w:suppressLineNumbers w:val="0"/>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系统监控</w:t>
            </w:r>
          </w:p>
        </w:tc>
        <w:tc>
          <w:tcPr>
            <w:tcW w:w="67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D376D">
            <w:pPr>
              <w:keepNext w:val="0"/>
              <w:keepLines w:val="0"/>
              <w:widowControl/>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对系统进行可视化监控，对CPU使用率、内存、磁盘等进行系统监控，即时查看系统健康情况</w:t>
            </w:r>
            <w:r>
              <w:rPr>
                <w:rFonts w:hint="eastAsia" w:ascii="宋体" w:hAnsi="宋体" w:eastAsia="宋体" w:cs="宋体"/>
                <w:color w:val="000000"/>
                <w:sz w:val="21"/>
                <w:szCs w:val="21"/>
                <w:lang w:val="en-US" w:eastAsia="zh-CN"/>
              </w:rPr>
              <w:t>▲</w:t>
            </w:r>
          </w:p>
        </w:tc>
      </w:tr>
      <w:tr w14:paraId="779B8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2B1B7">
            <w:pPr>
              <w:jc w:val="center"/>
              <w:rPr>
                <w:rFonts w:hint="eastAsia" w:asciiTheme="majorEastAsia" w:hAnsiTheme="majorEastAsia" w:eastAsiaTheme="majorEastAsia" w:cstheme="majorEastAsia"/>
                <w:i w:val="0"/>
                <w:iCs w:val="0"/>
                <w:color w:val="000000"/>
                <w:sz w:val="24"/>
                <w:szCs w:val="24"/>
                <w:u w:val="none"/>
              </w:rPr>
            </w:pPr>
          </w:p>
        </w:tc>
        <w:tc>
          <w:tcPr>
            <w:tcW w:w="14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D412D">
            <w:pPr>
              <w:keepNext w:val="0"/>
              <w:keepLines w:val="0"/>
              <w:widowControl/>
              <w:suppressLineNumbers w:val="0"/>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系统图标</w:t>
            </w:r>
          </w:p>
        </w:tc>
        <w:tc>
          <w:tcPr>
            <w:tcW w:w="67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EDB2B">
            <w:pPr>
              <w:keepNext w:val="0"/>
              <w:keepLines w:val="0"/>
              <w:widowControl/>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内置多种图标，供流程编排、业务编排进行使用</w:t>
            </w:r>
          </w:p>
        </w:tc>
      </w:tr>
      <w:tr w14:paraId="1BC17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8B5A8">
            <w:pPr>
              <w:jc w:val="center"/>
              <w:rPr>
                <w:rFonts w:hint="eastAsia" w:asciiTheme="majorEastAsia" w:hAnsiTheme="majorEastAsia" w:eastAsiaTheme="majorEastAsia" w:cstheme="majorEastAsia"/>
                <w:i w:val="0"/>
                <w:iCs w:val="0"/>
                <w:color w:val="000000"/>
                <w:sz w:val="24"/>
                <w:szCs w:val="24"/>
                <w:u w:val="none"/>
              </w:rPr>
            </w:pPr>
          </w:p>
        </w:tc>
        <w:tc>
          <w:tcPr>
            <w:tcW w:w="14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FABEB">
            <w:pPr>
              <w:keepNext w:val="0"/>
              <w:keepLines w:val="0"/>
              <w:widowControl/>
              <w:suppressLineNumbers w:val="0"/>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系统缓存</w:t>
            </w:r>
          </w:p>
        </w:tc>
        <w:tc>
          <w:tcPr>
            <w:tcW w:w="67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A50156">
            <w:pPr>
              <w:keepNext w:val="0"/>
              <w:keepLines w:val="0"/>
              <w:widowControl/>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对系统缓存数据库进行在线监控，实施查看缓存情况</w:t>
            </w:r>
          </w:p>
        </w:tc>
      </w:tr>
      <w:tr w14:paraId="33E75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12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3CF77">
            <w:pPr>
              <w:keepNext w:val="0"/>
              <w:keepLines w:val="0"/>
              <w:widowControl/>
              <w:suppressLineNumbers w:val="0"/>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用户权限管理</w:t>
            </w:r>
          </w:p>
        </w:tc>
        <w:tc>
          <w:tcPr>
            <w:tcW w:w="14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FF50F">
            <w:pPr>
              <w:keepNext w:val="0"/>
              <w:keepLines w:val="0"/>
              <w:widowControl/>
              <w:suppressLineNumbers w:val="0"/>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组织管理</w:t>
            </w:r>
          </w:p>
        </w:tc>
        <w:tc>
          <w:tcPr>
            <w:tcW w:w="67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45A4F5">
            <w:pPr>
              <w:keepNext w:val="0"/>
              <w:keepLines w:val="0"/>
              <w:widowControl/>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提供组织机构管理，设置相关的组织、部门、单位，通过层级关系展示相关组织信息，包括组织介绍等</w:t>
            </w:r>
          </w:p>
        </w:tc>
      </w:tr>
      <w:tr w14:paraId="4C362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871EC">
            <w:pPr>
              <w:jc w:val="center"/>
              <w:rPr>
                <w:rFonts w:hint="eastAsia" w:asciiTheme="majorEastAsia" w:hAnsiTheme="majorEastAsia" w:eastAsiaTheme="majorEastAsia" w:cstheme="majorEastAsia"/>
                <w:i w:val="0"/>
                <w:iCs w:val="0"/>
                <w:color w:val="000000"/>
                <w:sz w:val="24"/>
                <w:szCs w:val="24"/>
                <w:u w:val="none"/>
              </w:rPr>
            </w:pPr>
          </w:p>
        </w:tc>
        <w:tc>
          <w:tcPr>
            <w:tcW w:w="14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A3DDD">
            <w:pPr>
              <w:keepNext w:val="0"/>
              <w:keepLines w:val="0"/>
              <w:widowControl/>
              <w:suppressLineNumbers w:val="0"/>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岗位管理</w:t>
            </w:r>
          </w:p>
        </w:tc>
        <w:tc>
          <w:tcPr>
            <w:tcW w:w="67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7FDC27">
            <w:pPr>
              <w:keepNext w:val="0"/>
              <w:keepLines w:val="0"/>
              <w:widowControl/>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针对不同的组织，可以设置组织内部的岗位，实现岗位管理</w:t>
            </w:r>
          </w:p>
        </w:tc>
      </w:tr>
      <w:tr w14:paraId="79C65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B1FB7">
            <w:pPr>
              <w:jc w:val="center"/>
              <w:rPr>
                <w:rFonts w:hint="eastAsia" w:asciiTheme="majorEastAsia" w:hAnsiTheme="majorEastAsia" w:eastAsiaTheme="majorEastAsia" w:cstheme="majorEastAsia"/>
                <w:i w:val="0"/>
                <w:iCs w:val="0"/>
                <w:color w:val="000000"/>
                <w:sz w:val="24"/>
                <w:szCs w:val="24"/>
                <w:u w:val="none"/>
              </w:rPr>
            </w:pPr>
          </w:p>
        </w:tc>
        <w:tc>
          <w:tcPr>
            <w:tcW w:w="14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88A71">
            <w:pPr>
              <w:keepNext w:val="0"/>
              <w:keepLines w:val="0"/>
              <w:widowControl/>
              <w:suppressLineNumbers w:val="0"/>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用户管理</w:t>
            </w:r>
          </w:p>
        </w:tc>
        <w:tc>
          <w:tcPr>
            <w:tcW w:w="67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0DF54">
            <w:pPr>
              <w:keepNext w:val="0"/>
              <w:keepLines w:val="0"/>
              <w:widowControl/>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提供用户账户的新建、删除、禁用、启用、重置密码等管理功能，并可查看和修改用户属性。</w:t>
            </w:r>
          </w:p>
        </w:tc>
      </w:tr>
      <w:tr w14:paraId="101B1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5D765">
            <w:pPr>
              <w:jc w:val="center"/>
              <w:rPr>
                <w:rFonts w:hint="eastAsia" w:asciiTheme="majorEastAsia" w:hAnsiTheme="majorEastAsia" w:eastAsiaTheme="majorEastAsia" w:cstheme="majorEastAsia"/>
                <w:i w:val="0"/>
                <w:iCs w:val="0"/>
                <w:color w:val="000000"/>
                <w:sz w:val="24"/>
                <w:szCs w:val="24"/>
                <w:u w:val="none"/>
              </w:rPr>
            </w:pPr>
          </w:p>
        </w:tc>
        <w:tc>
          <w:tcPr>
            <w:tcW w:w="14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0C690">
            <w:pPr>
              <w:keepNext w:val="0"/>
              <w:keepLines w:val="0"/>
              <w:widowControl/>
              <w:suppressLineNumbers w:val="0"/>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角色管理</w:t>
            </w:r>
          </w:p>
        </w:tc>
        <w:tc>
          <w:tcPr>
            <w:tcW w:w="67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112105">
            <w:pPr>
              <w:keepNext w:val="0"/>
              <w:keepLines w:val="0"/>
              <w:widowControl/>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对系统角色进行统一管理，可以实现全局角色，也可实现部门角色，对角色进行关联人员，也可实现授权</w:t>
            </w:r>
          </w:p>
        </w:tc>
      </w:tr>
      <w:tr w14:paraId="1C512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291C9">
            <w:pPr>
              <w:jc w:val="center"/>
              <w:rPr>
                <w:rFonts w:hint="eastAsia" w:asciiTheme="majorEastAsia" w:hAnsiTheme="majorEastAsia" w:eastAsiaTheme="majorEastAsia" w:cstheme="majorEastAsia"/>
                <w:i w:val="0"/>
                <w:iCs w:val="0"/>
                <w:color w:val="000000"/>
                <w:sz w:val="24"/>
                <w:szCs w:val="24"/>
                <w:u w:val="none"/>
              </w:rPr>
            </w:pPr>
          </w:p>
        </w:tc>
        <w:tc>
          <w:tcPr>
            <w:tcW w:w="14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BAF75">
            <w:pPr>
              <w:keepNext w:val="0"/>
              <w:keepLines w:val="0"/>
              <w:widowControl/>
              <w:suppressLineNumbers w:val="0"/>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分组管理</w:t>
            </w:r>
          </w:p>
        </w:tc>
        <w:tc>
          <w:tcPr>
            <w:tcW w:w="67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20D8C">
            <w:pPr>
              <w:keepNext w:val="0"/>
              <w:keepLines w:val="0"/>
              <w:widowControl/>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新建、删除用户组，修改已有用户组所分配的成员</w:t>
            </w:r>
          </w:p>
        </w:tc>
      </w:tr>
      <w:tr w14:paraId="4E459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E5F7D">
            <w:pPr>
              <w:jc w:val="center"/>
              <w:rPr>
                <w:rFonts w:hint="eastAsia" w:asciiTheme="majorEastAsia" w:hAnsiTheme="majorEastAsia" w:eastAsiaTheme="majorEastAsia" w:cstheme="majorEastAsia"/>
                <w:i w:val="0"/>
                <w:iCs w:val="0"/>
                <w:color w:val="000000"/>
                <w:sz w:val="24"/>
                <w:szCs w:val="24"/>
                <w:u w:val="none"/>
              </w:rPr>
            </w:pPr>
          </w:p>
        </w:tc>
        <w:tc>
          <w:tcPr>
            <w:tcW w:w="14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94820">
            <w:pPr>
              <w:keepNext w:val="0"/>
              <w:keepLines w:val="0"/>
              <w:widowControl/>
              <w:suppressLineNumbers w:val="0"/>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分级管理</w:t>
            </w:r>
          </w:p>
        </w:tc>
        <w:tc>
          <w:tcPr>
            <w:tcW w:w="67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D71E70">
            <w:pPr>
              <w:keepNext w:val="0"/>
              <w:keepLines w:val="0"/>
              <w:widowControl/>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可以通过设置对应的管理员，实现对特定组织的数据权限进行查看</w:t>
            </w:r>
          </w:p>
        </w:tc>
      </w:tr>
      <w:tr w14:paraId="38B05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11D80">
            <w:pPr>
              <w:jc w:val="center"/>
              <w:rPr>
                <w:rFonts w:hint="eastAsia" w:asciiTheme="majorEastAsia" w:hAnsiTheme="majorEastAsia" w:eastAsiaTheme="majorEastAsia" w:cstheme="majorEastAsia"/>
                <w:i w:val="0"/>
                <w:iCs w:val="0"/>
                <w:color w:val="000000"/>
                <w:sz w:val="24"/>
                <w:szCs w:val="24"/>
                <w:u w:val="none"/>
              </w:rPr>
            </w:pPr>
          </w:p>
        </w:tc>
        <w:tc>
          <w:tcPr>
            <w:tcW w:w="14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5A6F3">
            <w:pPr>
              <w:keepNext w:val="0"/>
              <w:keepLines w:val="0"/>
              <w:widowControl/>
              <w:suppressLineNumbers w:val="0"/>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权限管理</w:t>
            </w:r>
          </w:p>
        </w:tc>
        <w:tc>
          <w:tcPr>
            <w:tcW w:w="67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41545">
            <w:pPr>
              <w:keepNext w:val="0"/>
              <w:keepLines w:val="0"/>
              <w:widowControl/>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对应用权限、菜单权限、按钮权限、列表权限、表单权限、数据权限、角色关联进行统一权限设置</w:t>
            </w:r>
            <w:r>
              <w:rPr>
                <w:rFonts w:hint="eastAsia" w:ascii="宋体" w:hAnsi="宋体" w:eastAsia="宋体" w:cs="宋体"/>
                <w:color w:val="000000"/>
                <w:sz w:val="21"/>
                <w:szCs w:val="21"/>
                <w:lang w:val="en-US" w:eastAsia="zh-CN"/>
              </w:rPr>
              <w:t>▲</w:t>
            </w:r>
          </w:p>
        </w:tc>
      </w:tr>
      <w:tr w14:paraId="5F5F7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87C5F">
            <w:pPr>
              <w:jc w:val="center"/>
              <w:rPr>
                <w:rFonts w:hint="eastAsia" w:asciiTheme="majorEastAsia" w:hAnsiTheme="majorEastAsia" w:eastAsiaTheme="majorEastAsia" w:cstheme="majorEastAsia"/>
                <w:i w:val="0"/>
                <w:iCs w:val="0"/>
                <w:color w:val="000000"/>
                <w:sz w:val="24"/>
                <w:szCs w:val="24"/>
                <w:u w:val="none"/>
              </w:rPr>
            </w:pPr>
          </w:p>
        </w:tc>
        <w:tc>
          <w:tcPr>
            <w:tcW w:w="14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7E2D8">
            <w:pPr>
              <w:keepNext w:val="0"/>
              <w:keepLines w:val="0"/>
              <w:widowControl/>
              <w:suppressLineNumbers w:val="0"/>
              <w:ind w:left="0" w:leftChars="0" w:firstLine="0" w:firstLineChars="0"/>
              <w:jc w:val="both"/>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在线用户</w:t>
            </w:r>
          </w:p>
        </w:tc>
        <w:tc>
          <w:tcPr>
            <w:tcW w:w="67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2141B">
            <w:pPr>
              <w:keepNext w:val="0"/>
              <w:keepLines w:val="0"/>
              <w:widowControl/>
              <w:suppressLineNumbers w:val="0"/>
              <w:ind w:left="0" w:leftChars="0" w:firstLine="0" w:firstLineChars="0"/>
              <w:jc w:val="left"/>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实现对在线用户管理，可以查看用户登录情况，包括IP、事件、设备，并可实现用户强制下线功能</w:t>
            </w:r>
            <w:r>
              <w:rPr>
                <w:rFonts w:hint="eastAsia" w:ascii="宋体" w:hAnsi="宋体" w:eastAsia="宋体" w:cs="宋体"/>
                <w:color w:val="000000"/>
                <w:sz w:val="21"/>
                <w:szCs w:val="21"/>
                <w:lang w:val="en-US" w:eastAsia="zh-CN"/>
              </w:rPr>
              <w:t>▲</w:t>
            </w:r>
          </w:p>
        </w:tc>
      </w:tr>
    </w:tbl>
    <w:p w14:paraId="254A6A0E">
      <w:pPr>
        <w:ind w:left="0" w:leftChars="0" w:firstLine="0" w:firstLineChars="0"/>
        <w:rPr>
          <w:rFonts w:hint="eastAsia"/>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0"/>
      <w:cols w:space="425" w:num="1"/>
      <w:titlePg/>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简">
    <w:altName w:val="宋体"/>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64072579"/>
      <w:docPartObj>
        <w:docPartGallery w:val="autotext"/>
      </w:docPartObj>
    </w:sdtPr>
    <w:sdtContent>
      <w:p w14:paraId="5D95C127">
        <w:pPr>
          <w:pStyle w:val="21"/>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2D413">
    <w:pPr>
      <w:pStyle w:val="21"/>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17428">
    <w:pPr>
      <w:pStyle w:val="21"/>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21CA4">
    <w:pPr>
      <w:pStyle w:val="22"/>
      <w:pBdr>
        <w:bottom w:val="none" w:color="auto" w:sz="0" w:space="0"/>
      </w:pBdr>
      <w:ind w:firstLine="360"/>
      <w:jc w:val="right"/>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3F311">
    <w:pPr>
      <w:pStyle w:val="22"/>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34B35">
    <w:pPr>
      <w:pStyle w:val="22"/>
      <w:pBdr>
        <w:bottom w:val="none" w:color="auto" w:sz="0" w:space="0"/>
      </w:pBdr>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5043A5"/>
    <w:multiLevelType w:val="multilevel"/>
    <w:tmpl w:val="125043A5"/>
    <w:lvl w:ilvl="0" w:tentative="0">
      <w:start w:val="1"/>
      <w:numFmt w:val="chineseCountingThousand"/>
      <w:pStyle w:val="3"/>
      <w:suff w:val="space"/>
      <w:lvlText w:val="%1、"/>
      <w:lvlJc w:val="left"/>
      <w:pPr>
        <w:ind w:left="0" w:firstLine="0"/>
      </w:pPr>
      <w:rPr>
        <w:rFonts w:hint="eastAsia"/>
      </w:rPr>
    </w:lvl>
    <w:lvl w:ilvl="1" w:tentative="0">
      <w:start w:val="1"/>
      <w:numFmt w:val="decimal"/>
      <w:pStyle w:val="4"/>
      <w:isLgl/>
      <w:suff w:val="space"/>
      <w:lvlText w:val="%1.%2"/>
      <w:lvlJc w:val="left"/>
      <w:pPr>
        <w:ind w:left="0" w:firstLine="0"/>
      </w:pPr>
      <w:rPr>
        <w:rFonts w:hint="eastAsia"/>
      </w:rPr>
    </w:lvl>
    <w:lvl w:ilvl="2" w:tentative="0">
      <w:start w:val="1"/>
      <w:numFmt w:val="decimal"/>
      <w:pStyle w:val="5"/>
      <w:isLgl/>
      <w:suff w:val="space"/>
      <w:lvlText w:val="%1.%2.%3"/>
      <w:lvlJc w:val="left"/>
      <w:pPr>
        <w:ind w:left="0" w:firstLine="0"/>
      </w:pPr>
      <w:rPr>
        <w:rFonts w:hint="eastAsia"/>
      </w:rPr>
    </w:lvl>
    <w:lvl w:ilvl="3" w:tentative="0">
      <w:start w:val="1"/>
      <w:numFmt w:val="decimal"/>
      <w:pStyle w:val="6"/>
      <w:isLgl/>
      <w:suff w:val="space"/>
      <w:lvlText w:val="%1.%2.%3.%4"/>
      <w:lvlJc w:val="left"/>
      <w:pPr>
        <w:ind w:left="0" w:firstLine="0"/>
      </w:pPr>
      <w:rPr>
        <w:rFonts w:hint="eastAsia"/>
      </w:rPr>
    </w:lvl>
    <w:lvl w:ilvl="4" w:tentative="0">
      <w:start w:val="1"/>
      <w:numFmt w:val="decimal"/>
      <w:pStyle w:val="7"/>
      <w:isLgl/>
      <w:suff w:val="space"/>
      <w:lvlText w:val="%1.%2.%3.%4.%5"/>
      <w:lvlJc w:val="left"/>
      <w:pPr>
        <w:ind w:left="0" w:firstLine="0"/>
      </w:pPr>
      <w:rPr>
        <w:rFonts w:hint="eastAsia"/>
      </w:rPr>
    </w:lvl>
    <w:lvl w:ilvl="5" w:tentative="0">
      <w:start w:val="1"/>
      <w:numFmt w:val="decimal"/>
      <w:pStyle w:val="8"/>
      <w:isLgl/>
      <w:suff w:val="space"/>
      <w:lvlText w:val="%1.%2.%3.%4.%5.%6"/>
      <w:lvlJc w:val="left"/>
      <w:pPr>
        <w:ind w:left="0" w:firstLine="0"/>
      </w:pPr>
      <w:rPr>
        <w:rFonts w:hint="eastAsia"/>
      </w:rPr>
    </w:lvl>
    <w:lvl w:ilvl="6" w:tentative="0">
      <w:start w:val="1"/>
      <w:numFmt w:val="decimal"/>
      <w:pStyle w:val="9"/>
      <w:isLgl/>
      <w:suff w:val="space"/>
      <w:lvlText w:val="%1.%2.%3.%4.%5.%6.%7"/>
      <w:lvlJc w:val="left"/>
      <w:pPr>
        <w:ind w:left="0" w:firstLine="0"/>
      </w:pPr>
      <w:rPr>
        <w:rFonts w:hint="eastAsia"/>
      </w:rPr>
    </w:lvl>
    <w:lvl w:ilvl="7" w:tentative="0">
      <w:start w:val="1"/>
      <w:numFmt w:val="decimal"/>
      <w:pStyle w:val="10"/>
      <w:isLgl/>
      <w:suff w:val="space"/>
      <w:lvlText w:val="%1.%2.%3.%4.%5.%6.%7.%8"/>
      <w:lvlJc w:val="left"/>
      <w:pPr>
        <w:ind w:left="0" w:firstLine="0"/>
      </w:pPr>
      <w:rPr>
        <w:rFonts w:hint="eastAsia"/>
      </w:rPr>
    </w:lvl>
    <w:lvl w:ilvl="8" w:tentative="0">
      <w:start w:val="1"/>
      <w:numFmt w:val="decimal"/>
      <w:pStyle w:val="11"/>
      <w:isLgl/>
      <w:suff w:val="space"/>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97F"/>
    <w:rsid w:val="0000122A"/>
    <w:rsid w:val="00001691"/>
    <w:rsid w:val="000027E7"/>
    <w:rsid w:val="0000535C"/>
    <w:rsid w:val="000055F1"/>
    <w:rsid w:val="000061E1"/>
    <w:rsid w:val="00011557"/>
    <w:rsid w:val="00011D36"/>
    <w:rsid w:val="0001597F"/>
    <w:rsid w:val="000214F7"/>
    <w:rsid w:val="0002210E"/>
    <w:rsid w:val="00041B73"/>
    <w:rsid w:val="00041C97"/>
    <w:rsid w:val="000465F2"/>
    <w:rsid w:val="00053593"/>
    <w:rsid w:val="00056AD0"/>
    <w:rsid w:val="00056D63"/>
    <w:rsid w:val="000673AE"/>
    <w:rsid w:val="00067F16"/>
    <w:rsid w:val="0007249A"/>
    <w:rsid w:val="00073CE9"/>
    <w:rsid w:val="00076625"/>
    <w:rsid w:val="00081E08"/>
    <w:rsid w:val="00091B34"/>
    <w:rsid w:val="0009432F"/>
    <w:rsid w:val="000946E7"/>
    <w:rsid w:val="00097D12"/>
    <w:rsid w:val="000A208A"/>
    <w:rsid w:val="000A35E5"/>
    <w:rsid w:val="000A4557"/>
    <w:rsid w:val="000B1E72"/>
    <w:rsid w:val="000B3836"/>
    <w:rsid w:val="000B413B"/>
    <w:rsid w:val="000C21CA"/>
    <w:rsid w:val="000C2DC9"/>
    <w:rsid w:val="000D7192"/>
    <w:rsid w:val="000E21B2"/>
    <w:rsid w:val="000E5724"/>
    <w:rsid w:val="000E57B3"/>
    <w:rsid w:val="000F21E8"/>
    <w:rsid w:val="000F5500"/>
    <w:rsid w:val="000F652F"/>
    <w:rsid w:val="00101B86"/>
    <w:rsid w:val="00110DDD"/>
    <w:rsid w:val="0011440C"/>
    <w:rsid w:val="001145C1"/>
    <w:rsid w:val="001178AA"/>
    <w:rsid w:val="001215F9"/>
    <w:rsid w:val="00135A0E"/>
    <w:rsid w:val="00144F67"/>
    <w:rsid w:val="001557A8"/>
    <w:rsid w:val="0015698B"/>
    <w:rsid w:val="00157723"/>
    <w:rsid w:val="00161FDD"/>
    <w:rsid w:val="00162BF9"/>
    <w:rsid w:val="001761AF"/>
    <w:rsid w:val="0018433C"/>
    <w:rsid w:val="00186527"/>
    <w:rsid w:val="00186B9A"/>
    <w:rsid w:val="001900BD"/>
    <w:rsid w:val="001905A3"/>
    <w:rsid w:val="001A16DC"/>
    <w:rsid w:val="001A2499"/>
    <w:rsid w:val="001A6047"/>
    <w:rsid w:val="001B2FD9"/>
    <w:rsid w:val="001C2994"/>
    <w:rsid w:val="001D064E"/>
    <w:rsid w:val="001D3D6A"/>
    <w:rsid w:val="001E16BA"/>
    <w:rsid w:val="001E577F"/>
    <w:rsid w:val="001E5A98"/>
    <w:rsid w:val="001E61F9"/>
    <w:rsid w:val="001E7978"/>
    <w:rsid w:val="001F4049"/>
    <w:rsid w:val="002030A6"/>
    <w:rsid w:val="00203DB7"/>
    <w:rsid w:val="00213A61"/>
    <w:rsid w:val="00213CE8"/>
    <w:rsid w:val="00222298"/>
    <w:rsid w:val="00237A06"/>
    <w:rsid w:val="002402F2"/>
    <w:rsid w:val="0024384E"/>
    <w:rsid w:val="00245593"/>
    <w:rsid w:val="00251C27"/>
    <w:rsid w:val="00253B74"/>
    <w:rsid w:val="00282979"/>
    <w:rsid w:val="0029235D"/>
    <w:rsid w:val="00294709"/>
    <w:rsid w:val="002A258A"/>
    <w:rsid w:val="002A4484"/>
    <w:rsid w:val="002A5700"/>
    <w:rsid w:val="002A641D"/>
    <w:rsid w:val="002A71FD"/>
    <w:rsid w:val="002B284A"/>
    <w:rsid w:val="002C0BCF"/>
    <w:rsid w:val="002D759E"/>
    <w:rsid w:val="002E4BF8"/>
    <w:rsid w:val="002E4F8A"/>
    <w:rsid w:val="002F7B96"/>
    <w:rsid w:val="00323286"/>
    <w:rsid w:val="00326128"/>
    <w:rsid w:val="00326B28"/>
    <w:rsid w:val="00326FC9"/>
    <w:rsid w:val="003306AC"/>
    <w:rsid w:val="00346102"/>
    <w:rsid w:val="003553C4"/>
    <w:rsid w:val="0036307B"/>
    <w:rsid w:val="003727F0"/>
    <w:rsid w:val="0039367D"/>
    <w:rsid w:val="003A28F4"/>
    <w:rsid w:val="003A633E"/>
    <w:rsid w:val="003A663A"/>
    <w:rsid w:val="003B7558"/>
    <w:rsid w:val="003C001C"/>
    <w:rsid w:val="003C4BD8"/>
    <w:rsid w:val="003C5125"/>
    <w:rsid w:val="003C546D"/>
    <w:rsid w:val="003C603B"/>
    <w:rsid w:val="003D1F4F"/>
    <w:rsid w:val="003D3952"/>
    <w:rsid w:val="003D50C8"/>
    <w:rsid w:val="003D6234"/>
    <w:rsid w:val="003E085C"/>
    <w:rsid w:val="003E3B43"/>
    <w:rsid w:val="003E4030"/>
    <w:rsid w:val="003F2FBB"/>
    <w:rsid w:val="003F3E96"/>
    <w:rsid w:val="003F519D"/>
    <w:rsid w:val="003F5CC7"/>
    <w:rsid w:val="003F63CC"/>
    <w:rsid w:val="00401EA9"/>
    <w:rsid w:val="0040467C"/>
    <w:rsid w:val="00411379"/>
    <w:rsid w:val="004202C5"/>
    <w:rsid w:val="00427C5B"/>
    <w:rsid w:val="00431FCB"/>
    <w:rsid w:val="00432DCD"/>
    <w:rsid w:val="0044421B"/>
    <w:rsid w:val="00447CA1"/>
    <w:rsid w:val="00460686"/>
    <w:rsid w:val="004655A1"/>
    <w:rsid w:val="00465B7D"/>
    <w:rsid w:val="004666C9"/>
    <w:rsid w:val="0047382F"/>
    <w:rsid w:val="0047534A"/>
    <w:rsid w:val="0048658F"/>
    <w:rsid w:val="0048794D"/>
    <w:rsid w:val="00494D78"/>
    <w:rsid w:val="004B43B4"/>
    <w:rsid w:val="004B5D3B"/>
    <w:rsid w:val="004C09F4"/>
    <w:rsid w:val="004C5B33"/>
    <w:rsid w:val="004D362A"/>
    <w:rsid w:val="004E575A"/>
    <w:rsid w:val="004F0012"/>
    <w:rsid w:val="004F340C"/>
    <w:rsid w:val="004F39E1"/>
    <w:rsid w:val="004F598B"/>
    <w:rsid w:val="00512B4C"/>
    <w:rsid w:val="005145A3"/>
    <w:rsid w:val="0052011C"/>
    <w:rsid w:val="0052037A"/>
    <w:rsid w:val="00524CC9"/>
    <w:rsid w:val="00526088"/>
    <w:rsid w:val="00550ABA"/>
    <w:rsid w:val="00552035"/>
    <w:rsid w:val="00553E63"/>
    <w:rsid w:val="0055651E"/>
    <w:rsid w:val="00557E3A"/>
    <w:rsid w:val="00560B23"/>
    <w:rsid w:val="005636CA"/>
    <w:rsid w:val="005664EB"/>
    <w:rsid w:val="00570012"/>
    <w:rsid w:val="00571A56"/>
    <w:rsid w:val="00581947"/>
    <w:rsid w:val="00586028"/>
    <w:rsid w:val="00592990"/>
    <w:rsid w:val="00594F13"/>
    <w:rsid w:val="005970F9"/>
    <w:rsid w:val="005A0135"/>
    <w:rsid w:val="005A5305"/>
    <w:rsid w:val="005B01C0"/>
    <w:rsid w:val="005B146E"/>
    <w:rsid w:val="005B15CA"/>
    <w:rsid w:val="005B41F5"/>
    <w:rsid w:val="005B4375"/>
    <w:rsid w:val="005C0A5B"/>
    <w:rsid w:val="005C14E9"/>
    <w:rsid w:val="005C6510"/>
    <w:rsid w:val="005E2018"/>
    <w:rsid w:val="005F778D"/>
    <w:rsid w:val="00615A3E"/>
    <w:rsid w:val="00620083"/>
    <w:rsid w:val="006245DE"/>
    <w:rsid w:val="006378AF"/>
    <w:rsid w:val="006469CB"/>
    <w:rsid w:val="00647992"/>
    <w:rsid w:val="0065334B"/>
    <w:rsid w:val="006539D5"/>
    <w:rsid w:val="0065673F"/>
    <w:rsid w:val="00656BAF"/>
    <w:rsid w:val="00663107"/>
    <w:rsid w:val="00664224"/>
    <w:rsid w:val="00665060"/>
    <w:rsid w:val="0067129C"/>
    <w:rsid w:val="0067624B"/>
    <w:rsid w:val="00680D22"/>
    <w:rsid w:val="006819B4"/>
    <w:rsid w:val="0069213B"/>
    <w:rsid w:val="006A21F2"/>
    <w:rsid w:val="006B7340"/>
    <w:rsid w:val="006B7412"/>
    <w:rsid w:val="006C4AFD"/>
    <w:rsid w:val="006D3457"/>
    <w:rsid w:val="006D43E1"/>
    <w:rsid w:val="006D46C9"/>
    <w:rsid w:val="006D67D6"/>
    <w:rsid w:val="006E08D6"/>
    <w:rsid w:val="006E3EEA"/>
    <w:rsid w:val="006E5B50"/>
    <w:rsid w:val="006E5D18"/>
    <w:rsid w:val="006E6B37"/>
    <w:rsid w:val="006F27E0"/>
    <w:rsid w:val="006F4425"/>
    <w:rsid w:val="006F7D86"/>
    <w:rsid w:val="0070153C"/>
    <w:rsid w:val="00701B34"/>
    <w:rsid w:val="00711DC0"/>
    <w:rsid w:val="007138F8"/>
    <w:rsid w:val="007161D0"/>
    <w:rsid w:val="00717BD9"/>
    <w:rsid w:val="00721AD9"/>
    <w:rsid w:val="007437A6"/>
    <w:rsid w:val="00752B4E"/>
    <w:rsid w:val="00754490"/>
    <w:rsid w:val="00757CA3"/>
    <w:rsid w:val="00763580"/>
    <w:rsid w:val="007646B4"/>
    <w:rsid w:val="00770A93"/>
    <w:rsid w:val="007710F3"/>
    <w:rsid w:val="00776905"/>
    <w:rsid w:val="00776B9A"/>
    <w:rsid w:val="00783317"/>
    <w:rsid w:val="00790CA2"/>
    <w:rsid w:val="00794B27"/>
    <w:rsid w:val="007B332C"/>
    <w:rsid w:val="007B3C7F"/>
    <w:rsid w:val="007B7D92"/>
    <w:rsid w:val="007C1E08"/>
    <w:rsid w:val="007C3CD2"/>
    <w:rsid w:val="007E6C69"/>
    <w:rsid w:val="007F1769"/>
    <w:rsid w:val="008019EE"/>
    <w:rsid w:val="008071C2"/>
    <w:rsid w:val="00812AB0"/>
    <w:rsid w:val="00812D2E"/>
    <w:rsid w:val="008211E4"/>
    <w:rsid w:val="00821A02"/>
    <w:rsid w:val="00822522"/>
    <w:rsid w:val="00831E37"/>
    <w:rsid w:val="00834B05"/>
    <w:rsid w:val="008370EA"/>
    <w:rsid w:val="00837EED"/>
    <w:rsid w:val="00840454"/>
    <w:rsid w:val="00843395"/>
    <w:rsid w:val="00850505"/>
    <w:rsid w:val="008562BD"/>
    <w:rsid w:val="00862D00"/>
    <w:rsid w:val="00865190"/>
    <w:rsid w:val="00885886"/>
    <w:rsid w:val="00893121"/>
    <w:rsid w:val="008A4262"/>
    <w:rsid w:val="008A4731"/>
    <w:rsid w:val="008A64B4"/>
    <w:rsid w:val="008A67F4"/>
    <w:rsid w:val="008B224C"/>
    <w:rsid w:val="008B2CB6"/>
    <w:rsid w:val="008C2143"/>
    <w:rsid w:val="008C570A"/>
    <w:rsid w:val="008C70EC"/>
    <w:rsid w:val="008D3E99"/>
    <w:rsid w:val="008E0C56"/>
    <w:rsid w:val="008E3C0F"/>
    <w:rsid w:val="008E78ED"/>
    <w:rsid w:val="008E7B90"/>
    <w:rsid w:val="008F112B"/>
    <w:rsid w:val="008F574C"/>
    <w:rsid w:val="008F6DAD"/>
    <w:rsid w:val="00902D71"/>
    <w:rsid w:val="00925C3C"/>
    <w:rsid w:val="009262D2"/>
    <w:rsid w:val="00927085"/>
    <w:rsid w:val="009317FB"/>
    <w:rsid w:val="00933E3F"/>
    <w:rsid w:val="0093458C"/>
    <w:rsid w:val="009413EC"/>
    <w:rsid w:val="00947398"/>
    <w:rsid w:val="0095056A"/>
    <w:rsid w:val="00951254"/>
    <w:rsid w:val="00952787"/>
    <w:rsid w:val="009574D4"/>
    <w:rsid w:val="00961B05"/>
    <w:rsid w:val="009627C3"/>
    <w:rsid w:val="009660BD"/>
    <w:rsid w:val="0097121D"/>
    <w:rsid w:val="00972D9B"/>
    <w:rsid w:val="00985AD4"/>
    <w:rsid w:val="00986AC1"/>
    <w:rsid w:val="00987624"/>
    <w:rsid w:val="009A5AC1"/>
    <w:rsid w:val="009B0C61"/>
    <w:rsid w:val="009B5643"/>
    <w:rsid w:val="009B7C05"/>
    <w:rsid w:val="009C0133"/>
    <w:rsid w:val="009C2263"/>
    <w:rsid w:val="009C32D3"/>
    <w:rsid w:val="009D21C6"/>
    <w:rsid w:val="009D4449"/>
    <w:rsid w:val="009D6FF7"/>
    <w:rsid w:val="009F48CF"/>
    <w:rsid w:val="00A00376"/>
    <w:rsid w:val="00A05B5A"/>
    <w:rsid w:val="00A06AD0"/>
    <w:rsid w:val="00A30827"/>
    <w:rsid w:val="00A316CB"/>
    <w:rsid w:val="00A32E36"/>
    <w:rsid w:val="00A3645D"/>
    <w:rsid w:val="00A5605A"/>
    <w:rsid w:val="00A70E0C"/>
    <w:rsid w:val="00A71CE6"/>
    <w:rsid w:val="00A721EE"/>
    <w:rsid w:val="00A73C31"/>
    <w:rsid w:val="00A748DA"/>
    <w:rsid w:val="00A76693"/>
    <w:rsid w:val="00A77AD0"/>
    <w:rsid w:val="00A8134E"/>
    <w:rsid w:val="00A955F8"/>
    <w:rsid w:val="00AB1168"/>
    <w:rsid w:val="00AB6274"/>
    <w:rsid w:val="00AB649E"/>
    <w:rsid w:val="00AB704E"/>
    <w:rsid w:val="00AB7C99"/>
    <w:rsid w:val="00AC1416"/>
    <w:rsid w:val="00AC5715"/>
    <w:rsid w:val="00AE3144"/>
    <w:rsid w:val="00AE4B57"/>
    <w:rsid w:val="00AE7E90"/>
    <w:rsid w:val="00AF56D2"/>
    <w:rsid w:val="00B02EBF"/>
    <w:rsid w:val="00B0443B"/>
    <w:rsid w:val="00B04D5E"/>
    <w:rsid w:val="00B1076B"/>
    <w:rsid w:val="00B11651"/>
    <w:rsid w:val="00B11892"/>
    <w:rsid w:val="00B22D3D"/>
    <w:rsid w:val="00B24C20"/>
    <w:rsid w:val="00B2663B"/>
    <w:rsid w:val="00B3201E"/>
    <w:rsid w:val="00B32101"/>
    <w:rsid w:val="00B362F8"/>
    <w:rsid w:val="00B40D50"/>
    <w:rsid w:val="00B47110"/>
    <w:rsid w:val="00B507AD"/>
    <w:rsid w:val="00B50B7B"/>
    <w:rsid w:val="00B535C6"/>
    <w:rsid w:val="00B53710"/>
    <w:rsid w:val="00B53A69"/>
    <w:rsid w:val="00B55BBE"/>
    <w:rsid w:val="00B61A63"/>
    <w:rsid w:val="00B62E58"/>
    <w:rsid w:val="00B650A4"/>
    <w:rsid w:val="00B723B1"/>
    <w:rsid w:val="00B72438"/>
    <w:rsid w:val="00B7559F"/>
    <w:rsid w:val="00B768C5"/>
    <w:rsid w:val="00B8115A"/>
    <w:rsid w:val="00B82756"/>
    <w:rsid w:val="00B8278E"/>
    <w:rsid w:val="00B848CF"/>
    <w:rsid w:val="00B857A4"/>
    <w:rsid w:val="00B934F6"/>
    <w:rsid w:val="00BA16E1"/>
    <w:rsid w:val="00BA75D7"/>
    <w:rsid w:val="00BB46AD"/>
    <w:rsid w:val="00BB6753"/>
    <w:rsid w:val="00BC1EAE"/>
    <w:rsid w:val="00BC57A3"/>
    <w:rsid w:val="00BD2C54"/>
    <w:rsid w:val="00BD449B"/>
    <w:rsid w:val="00BD4CCC"/>
    <w:rsid w:val="00BD5514"/>
    <w:rsid w:val="00BE1A50"/>
    <w:rsid w:val="00BE2494"/>
    <w:rsid w:val="00BF6EB1"/>
    <w:rsid w:val="00BF6EB7"/>
    <w:rsid w:val="00C127CC"/>
    <w:rsid w:val="00C14725"/>
    <w:rsid w:val="00C14A57"/>
    <w:rsid w:val="00C25AB0"/>
    <w:rsid w:val="00C2665C"/>
    <w:rsid w:val="00C30BDC"/>
    <w:rsid w:val="00C5006B"/>
    <w:rsid w:val="00C6089B"/>
    <w:rsid w:val="00C70A32"/>
    <w:rsid w:val="00C727F6"/>
    <w:rsid w:val="00C759D9"/>
    <w:rsid w:val="00C807D0"/>
    <w:rsid w:val="00C85327"/>
    <w:rsid w:val="00C86D8B"/>
    <w:rsid w:val="00C975B5"/>
    <w:rsid w:val="00CA05C7"/>
    <w:rsid w:val="00CA0CD3"/>
    <w:rsid w:val="00CA2746"/>
    <w:rsid w:val="00CA6A2D"/>
    <w:rsid w:val="00CA7EA4"/>
    <w:rsid w:val="00CB1726"/>
    <w:rsid w:val="00CD5C74"/>
    <w:rsid w:val="00CF044E"/>
    <w:rsid w:val="00CF6A7A"/>
    <w:rsid w:val="00D02E44"/>
    <w:rsid w:val="00D02EFE"/>
    <w:rsid w:val="00D05C80"/>
    <w:rsid w:val="00D07836"/>
    <w:rsid w:val="00D124F6"/>
    <w:rsid w:val="00D12BDD"/>
    <w:rsid w:val="00D1405F"/>
    <w:rsid w:val="00D16005"/>
    <w:rsid w:val="00D17C43"/>
    <w:rsid w:val="00D228EF"/>
    <w:rsid w:val="00D25E70"/>
    <w:rsid w:val="00D340B6"/>
    <w:rsid w:val="00D35988"/>
    <w:rsid w:val="00D428E0"/>
    <w:rsid w:val="00D44B9A"/>
    <w:rsid w:val="00D4578E"/>
    <w:rsid w:val="00D50749"/>
    <w:rsid w:val="00D5635B"/>
    <w:rsid w:val="00D60253"/>
    <w:rsid w:val="00D67FE8"/>
    <w:rsid w:val="00D7718E"/>
    <w:rsid w:val="00D87FA1"/>
    <w:rsid w:val="00D94B07"/>
    <w:rsid w:val="00DA4781"/>
    <w:rsid w:val="00DA574C"/>
    <w:rsid w:val="00DA667A"/>
    <w:rsid w:val="00DB2F9D"/>
    <w:rsid w:val="00DB47F9"/>
    <w:rsid w:val="00DC5CC5"/>
    <w:rsid w:val="00DD46FF"/>
    <w:rsid w:val="00DD57AD"/>
    <w:rsid w:val="00DE4C62"/>
    <w:rsid w:val="00DF5362"/>
    <w:rsid w:val="00E01968"/>
    <w:rsid w:val="00E049AB"/>
    <w:rsid w:val="00E07502"/>
    <w:rsid w:val="00E07FAE"/>
    <w:rsid w:val="00E13BEA"/>
    <w:rsid w:val="00E17C66"/>
    <w:rsid w:val="00E23073"/>
    <w:rsid w:val="00E374C4"/>
    <w:rsid w:val="00E4255C"/>
    <w:rsid w:val="00E430DC"/>
    <w:rsid w:val="00E52736"/>
    <w:rsid w:val="00E53551"/>
    <w:rsid w:val="00E66E5F"/>
    <w:rsid w:val="00E76C83"/>
    <w:rsid w:val="00E8212F"/>
    <w:rsid w:val="00E858EC"/>
    <w:rsid w:val="00E928B2"/>
    <w:rsid w:val="00EB1BEF"/>
    <w:rsid w:val="00EB1EA1"/>
    <w:rsid w:val="00EB291F"/>
    <w:rsid w:val="00EB2DE0"/>
    <w:rsid w:val="00EB6C19"/>
    <w:rsid w:val="00EC440F"/>
    <w:rsid w:val="00EC4EAF"/>
    <w:rsid w:val="00EC7441"/>
    <w:rsid w:val="00ED4149"/>
    <w:rsid w:val="00ED6D7E"/>
    <w:rsid w:val="00EE0587"/>
    <w:rsid w:val="00EE23C6"/>
    <w:rsid w:val="00EE297E"/>
    <w:rsid w:val="00EF7C91"/>
    <w:rsid w:val="00F005AD"/>
    <w:rsid w:val="00F02441"/>
    <w:rsid w:val="00F04B1C"/>
    <w:rsid w:val="00F172A5"/>
    <w:rsid w:val="00F357BC"/>
    <w:rsid w:val="00F41260"/>
    <w:rsid w:val="00F420B1"/>
    <w:rsid w:val="00F42E33"/>
    <w:rsid w:val="00F452EE"/>
    <w:rsid w:val="00F456D4"/>
    <w:rsid w:val="00F45D62"/>
    <w:rsid w:val="00F46EFC"/>
    <w:rsid w:val="00F5173E"/>
    <w:rsid w:val="00F5593A"/>
    <w:rsid w:val="00F57CA1"/>
    <w:rsid w:val="00F62047"/>
    <w:rsid w:val="00F65BA7"/>
    <w:rsid w:val="00F7297A"/>
    <w:rsid w:val="00F729DA"/>
    <w:rsid w:val="00F80B38"/>
    <w:rsid w:val="00F841BB"/>
    <w:rsid w:val="00F86DBA"/>
    <w:rsid w:val="00F90E0E"/>
    <w:rsid w:val="00F927A9"/>
    <w:rsid w:val="00F97F31"/>
    <w:rsid w:val="00FA3211"/>
    <w:rsid w:val="00FA44B9"/>
    <w:rsid w:val="00FA4DFE"/>
    <w:rsid w:val="00FB2EAA"/>
    <w:rsid w:val="00FB45E4"/>
    <w:rsid w:val="00FC001F"/>
    <w:rsid w:val="00FC278D"/>
    <w:rsid w:val="00FC4B67"/>
    <w:rsid w:val="00FC5E33"/>
    <w:rsid w:val="00FC61D4"/>
    <w:rsid w:val="00FD2286"/>
    <w:rsid w:val="00FE3659"/>
    <w:rsid w:val="00FE4208"/>
    <w:rsid w:val="00FE443D"/>
    <w:rsid w:val="00FE76B3"/>
    <w:rsid w:val="00FF0732"/>
    <w:rsid w:val="00FF10A8"/>
    <w:rsid w:val="00FF6F38"/>
    <w:rsid w:val="05BE5B43"/>
    <w:rsid w:val="0844257C"/>
    <w:rsid w:val="0A326B00"/>
    <w:rsid w:val="15B11221"/>
    <w:rsid w:val="175E6E62"/>
    <w:rsid w:val="179B7A92"/>
    <w:rsid w:val="196D3D30"/>
    <w:rsid w:val="1B5DE2AE"/>
    <w:rsid w:val="1C884B8E"/>
    <w:rsid w:val="1E911BEF"/>
    <w:rsid w:val="214D5DE0"/>
    <w:rsid w:val="28C66939"/>
    <w:rsid w:val="28CF3A40"/>
    <w:rsid w:val="2F479163"/>
    <w:rsid w:val="2F5D464F"/>
    <w:rsid w:val="31CF4AB1"/>
    <w:rsid w:val="345D1478"/>
    <w:rsid w:val="34EE6121"/>
    <w:rsid w:val="36DF562B"/>
    <w:rsid w:val="3AF47336"/>
    <w:rsid w:val="3FFF8DCD"/>
    <w:rsid w:val="40F55BB6"/>
    <w:rsid w:val="41766CF7"/>
    <w:rsid w:val="439B2A45"/>
    <w:rsid w:val="4E465CA3"/>
    <w:rsid w:val="4ECFEECC"/>
    <w:rsid w:val="51730B5D"/>
    <w:rsid w:val="51A74CAA"/>
    <w:rsid w:val="52BA4AFD"/>
    <w:rsid w:val="55CF032A"/>
    <w:rsid w:val="5AB126F6"/>
    <w:rsid w:val="5D017965"/>
    <w:rsid w:val="5E2C6C63"/>
    <w:rsid w:val="639C03E7"/>
    <w:rsid w:val="6B87372B"/>
    <w:rsid w:val="6DCF6983"/>
    <w:rsid w:val="6E1F5E9D"/>
    <w:rsid w:val="6FBF0EA2"/>
    <w:rsid w:val="6FEC6252"/>
    <w:rsid w:val="713559D7"/>
    <w:rsid w:val="73FFAE18"/>
    <w:rsid w:val="7616B56F"/>
    <w:rsid w:val="79FB730C"/>
    <w:rsid w:val="7A2605B3"/>
    <w:rsid w:val="7B9A8891"/>
    <w:rsid w:val="7B9E1D52"/>
    <w:rsid w:val="7C8D4919"/>
    <w:rsid w:val="7D2A2168"/>
    <w:rsid w:val="7DFDB252"/>
    <w:rsid w:val="7E1B6D74"/>
    <w:rsid w:val="7E67B2B9"/>
    <w:rsid w:val="7FD6C5E3"/>
    <w:rsid w:val="7FD74226"/>
    <w:rsid w:val="9FF6D17F"/>
    <w:rsid w:val="A5DF49AD"/>
    <w:rsid w:val="B98EA392"/>
    <w:rsid w:val="CBFA5663"/>
    <w:rsid w:val="D5473FB2"/>
    <w:rsid w:val="DCBD9ADC"/>
    <w:rsid w:val="E6BE88FD"/>
    <w:rsid w:val="EFBFA8C7"/>
    <w:rsid w:val="FCFCF727"/>
    <w:rsid w:val="FDBA7120"/>
    <w:rsid w:val="FF6742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1" w:semiHidden="0" w:name="heading 2"/>
    <w:lsdException w:qFormat="1" w:uiPriority="1" w:semiHidden="0" w:name="heading 3"/>
    <w:lsdException w:qFormat="1" w:uiPriority="1" w:semiHidden="0" w:name="heading 4"/>
    <w:lsdException w:qFormat="1" w:uiPriority="1" w:semiHidden="0" w:name="heading 5"/>
    <w:lsdException w:qFormat="1" w:uiPriority="9" w:semiHidden="0" w:name="heading 6"/>
    <w:lsdException w:qFormat="1" w:uiPriority="9"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宋体" w:hAnsi="宋体" w:eastAsiaTheme="minorEastAsia" w:cstheme="minorBidi"/>
      <w:kern w:val="2"/>
      <w:sz w:val="24"/>
      <w:szCs w:val="22"/>
      <w:lang w:val="en-US" w:eastAsia="zh-CN" w:bidi="ar-SA"/>
    </w:rPr>
  </w:style>
  <w:style w:type="paragraph" w:styleId="3">
    <w:name w:val="heading 1"/>
    <w:basedOn w:val="1"/>
    <w:next w:val="1"/>
    <w:link w:val="36"/>
    <w:qFormat/>
    <w:uiPriority w:val="9"/>
    <w:pPr>
      <w:keepNext/>
      <w:keepLines/>
      <w:numPr>
        <w:ilvl w:val="0"/>
        <w:numId w:val="1"/>
      </w:numPr>
      <w:spacing w:before="160" w:after="160"/>
      <w:ind w:firstLineChars="0"/>
      <w:outlineLvl w:val="0"/>
    </w:pPr>
    <w:rPr>
      <w:rFonts w:eastAsiaTheme="majorEastAsia"/>
      <w:b/>
      <w:bCs/>
      <w:kern w:val="44"/>
      <w:sz w:val="32"/>
      <w:szCs w:val="44"/>
    </w:rPr>
  </w:style>
  <w:style w:type="paragraph" w:styleId="4">
    <w:name w:val="heading 2"/>
    <w:basedOn w:val="1"/>
    <w:next w:val="1"/>
    <w:link w:val="37"/>
    <w:unhideWhenUsed/>
    <w:qFormat/>
    <w:uiPriority w:val="1"/>
    <w:pPr>
      <w:keepNext/>
      <w:keepLines/>
      <w:numPr>
        <w:ilvl w:val="1"/>
        <w:numId w:val="1"/>
      </w:numPr>
      <w:spacing w:before="160" w:after="160"/>
      <w:ind w:firstLineChars="0"/>
      <w:outlineLvl w:val="1"/>
    </w:pPr>
    <w:rPr>
      <w:rFonts w:eastAsiaTheme="majorEastAsia" w:cstheme="majorBidi"/>
      <w:b/>
      <w:bCs/>
      <w:sz w:val="30"/>
      <w:szCs w:val="32"/>
    </w:rPr>
  </w:style>
  <w:style w:type="paragraph" w:styleId="5">
    <w:name w:val="heading 3"/>
    <w:basedOn w:val="1"/>
    <w:next w:val="1"/>
    <w:link w:val="38"/>
    <w:unhideWhenUsed/>
    <w:qFormat/>
    <w:uiPriority w:val="1"/>
    <w:pPr>
      <w:keepNext/>
      <w:keepLines/>
      <w:numPr>
        <w:ilvl w:val="2"/>
        <w:numId w:val="1"/>
      </w:numPr>
      <w:spacing w:before="160" w:after="160"/>
      <w:ind w:firstLineChars="0"/>
      <w:outlineLvl w:val="2"/>
    </w:pPr>
    <w:rPr>
      <w:rFonts w:eastAsiaTheme="majorEastAsia"/>
      <w:b/>
      <w:bCs/>
      <w:sz w:val="28"/>
      <w:szCs w:val="32"/>
    </w:rPr>
  </w:style>
  <w:style w:type="paragraph" w:styleId="6">
    <w:name w:val="heading 4"/>
    <w:basedOn w:val="1"/>
    <w:next w:val="1"/>
    <w:link w:val="39"/>
    <w:unhideWhenUsed/>
    <w:qFormat/>
    <w:uiPriority w:val="1"/>
    <w:pPr>
      <w:keepNext/>
      <w:keepLines/>
      <w:numPr>
        <w:ilvl w:val="3"/>
        <w:numId w:val="1"/>
      </w:numPr>
      <w:spacing w:before="160" w:after="160"/>
      <w:ind w:firstLineChars="0"/>
      <w:outlineLvl w:val="3"/>
    </w:pPr>
    <w:rPr>
      <w:rFonts w:eastAsiaTheme="majorEastAsia" w:cstheme="majorBidi"/>
      <w:b/>
      <w:bCs/>
      <w:szCs w:val="28"/>
    </w:rPr>
  </w:style>
  <w:style w:type="paragraph" w:styleId="7">
    <w:name w:val="heading 5"/>
    <w:basedOn w:val="1"/>
    <w:next w:val="1"/>
    <w:link w:val="41"/>
    <w:unhideWhenUsed/>
    <w:qFormat/>
    <w:uiPriority w:val="1"/>
    <w:pPr>
      <w:keepNext/>
      <w:keepLines/>
      <w:numPr>
        <w:ilvl w:val="4"/>
        <w:numId w:val="1"/>
      </w:numPr>
      <w:spacing w:before="160" w:after="160"/>
      <w:ind w:firstLineChars="0"/>
      <w:outlineLvl w:val="4"/>
    </w:pPr>
    <w:rPr>
      <w:b/>
      <w:bCs/>
      <w:szCs w:val="28"/>
    </w:rPr>
  </w:style>
  <w:style w:type="paragraph" w:styleId="8">
    <w:name w:val="heading 6"/>
    <w:basedOn w:val="1"/>
    <w:next w:val="1"/>
    <w:link w:val="44"/>
    <w:unhideWhenUsed/>
    <w:qFormat/>
    <w:uiPriority w:val="9"/>
    <w:pPr>
      <w:keepNext/>
      <w:keepLines/>
      <w:numPr>
        <w:ilvl w:val="5"/>
        <w:numId w:val="1"/>
      </w:numPr>
      <w:spacing w:before="160" w:after="160"/>
      <w:ind w:firstLineChars="0"/>
      <w:outlineLvl w:val="5"/>
    </w:pPr>
    <w:rPr>
      <w:rFonts w:asciiTheme="majorHAnsi" w:hAnsiTheme="majorHAnsi" w:eastAsiaTheme="majorEastAsia" w:cstheme="majorBidi"/>
      <w:b/>
      <w:bCs/>
      <w:szCs w:val="24"/>
    </w:rPr>
  </w:style>
  <w:style w:type="paragraph" w:styleId="9">
    <w:name w:val="heading 7"/>
    <w:basedOn w:val="1"/>
    <w:next w:val="1"/>
    <w:link w:val="45"/>
    <w:unhideWhenUsed/>
    <w:qFormat/>
    <w:uiPriority w:val="9"/>
    <w:pPr>
      <w:keepNext/>
      <w:keepLines/>
      <w:numPr>
        <w:ilvl w:val="6"/>
        <w:numId w:val="1"/>
      </w:numPr>
      <w:spacing w:before="160" w:after="160"/>
      <w:ind w:firstLineChars="0"/>
      <w:outlineLvl w:val="6"/>
    </w:pPr>
    <w:rPr>
      <w:b/>
      <w:bCs/>
      <w:szCs w:val="24"/>
    </w:rPr>
  </w:style>
  <w:style w:type="paragraph" w:styleId="10">
    <w:name w:val="heading 8"/>
    <w:basedOn w:val="1"/>
    <w:next w:val="1"/>
    <w:link w:val="46"/>
    <w:unhideWhenUsed/>
    <w:qFormat/>
    <w:uiPriority w:val="0"/>
    <w:pPr>
      <w:keepNext/>
      <w:keepLines/>
      <w:numPr>
        <w:ilvl w:val="7"/>
        <w:numId w:val="1"/>
      </w:numPr>
      <w:spacing w:before="160" w:after="160"/>
      <w:ind w:firstLineChars="0"/>
      <w:outlineLvl w:val="7"/>
    </w:pPr>
    <w:rPr>
      <w:rFonts w:asciiTheme="majorHAnsi" w:hAnsiTheme="majorHAnsi" w:eastAsiaTheme="majorEastAsia" w:cstheme="majorBidi"/>
      <w:b/>
      <w:szCs w:val="24"/>
    </w:rPr>
  </w:style>
  <w:style w:type="paragraph" w:styleId="11">
    <w:name w:val="heading 9"/>
    <w:basedOn w:val="1"/>
    <w:next w:val="1"/>
    <w:link w:val="47"/>
    <w:unhideWhenUsed/>
    <w:qFormat/>
    <w:uiPriority w:val="0"/>
    <w:pPr>
      <w:keepNext/>
      <w:keepLines/>
      <w:numPr>
        <w:ilvl w:val="8"/>
        <w:numId w:val="1"/>
      </w:numPr>
      <w:spacing w:before="160" w:after="160"/>
      <w:ind w:firstLineChars="0"/>
      <w:outlineLvl w:val="8"/>
    </w:pPr>
    <w:rPr>
      <w:rFonts w:asciiTheme="majorHAnsi" w:hAnsiTheme="majorHAnsi" w:eastAsiaTheme="majorEastAsia" w:cstheme="majorBidi"/>
      <w:b/>
      <w:sz w:val="21"/>
      <w:szCs w:val="21"/>
    </w:rPr>
  </w:style>
  <w:style w:type="character" w:default="1" w:styleId="31">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2">
    <w:name w:val="Body Text First Indent"/>
    <w:unhideWhenUsed/>
    <w:qFormat/>
    <w:uiPriority w:val="99"/>
    <w:pPr>
      <w:widowControl w:val="0"/>
      <w:spacing w:after="120"/>
      <w:ind w:firstLine="420" w:firstLineChars="100"/>
      <w:jc w:val="both"/>
    </w:pPr>
    <w:rPr>
      <w:rFonts w:ascii="Times New Roman" w:hAnsi="Times New Roman" w:eastAsia="宋体" w:cs="Times New Roman"/>
      <w:kern w:val="2"/>
      <w:sz w:val="28"/>
      <w:szCs w:val="20"/>
      <w:lang w:val="en-US" w:eastAsia="zh-CN" w:bidi="ar-SA"/>
    </w:rPr>
  </w:style>
  <w:style w:type="paragraph" w:styleId="12">
    <w:name w:val="toc 7"/>
    <w:basedOn w:val="1"/>
    <w:next w:val="1"/>
    <w:autoRedefine/>
    <w:unhideWhenUsed/>
    <w:qFormat/>
    <w:uiPriority w:val="39"/>
    <w:pPr>
      <w:ind w:left="1440"/>
      <w:jc w:val="left"/>
    </w:pPr>
    <w:rPr>
      <w:rFonts w:asciiTheme="minorHAnsi" w:hAnsiTheme="minorHAnsi" w:cstheme="minorHAnsi"/>
      <w:sz w:val="18"/>
      <w:szCs w:val="18"/>
    </w:rPr>
  </w:style>
  <w:style w:type="paragraph" w:styleId="13">
    <w:name w:val="Normal Indent"/>
    <w:basedOn w:val="1"/>
    <w:link w:val="50"/>
    <w:qFormat/>
    <w:uiPriority w:val="0"/>
    <w:pPr>
      <w:ind w:firstLine="420" w:firstLineChars="0"/>
    </w:pPr>
    <w:rPr>
      <w:rFonts w:ascii="Times New Roman" w:hAnsi="Times New Roman" w:eastAsia="宋体" w:cs="Times New Roman"/>
      <w:sz w:val="21"/>
      <w:szCs w:val="21"/>
    </w:rPr>
  </w:style>
  <w:style w:type="paragraph" w:styleId="14">
    <w:name w:val="annotation text"/>
    <w:basedOn w:val="1"/>
    <w:link w:val="60"/>
    <w:unhideWhenUsed/>
    <w:qFormat/>
    <w:uiPriority w:val="99"/>
    <w:pPr>
      <w:jc w:val="left"/>
    </w:pPr>
  </w:style>
  <w:style w:type="paragraph" w:styleId="15">
    <w:name w:val="Body Text"/>
    <w:basedOn w:val="1"/>
    <w:next w:val="1"/>
    <w:link w:val="54"/>
    <w:qFormat/>
    <w:uiPriority w:val="0"/>
    <w:pPr>
      <w:ind w:firstLine="0" w:firstLineChars="0"/>
    </w:pPr>
    <w:rPr>
      <w:rFonts w:ascii="楷体_GB2312" w:hAnsi="Arial" w:eastAsia="楷体_GB2312" w:cs="Times New Roman"/>
      <w:sz w:val="28"/>
      <w:szCs w:val="28"/>
    </w:rPr>
  </w:style>
  <w:style w:type="paragraph" w:styleId="16">
    <w:name w:val="Body Text Indent"/>
    <w:basedOn w:val="1"/>
    <w:link w:val="56"/>
    <w:semiHidden/>
    <w:unhideWhenUsed/>
    <w:qFormat/>
    <w:uiPriority w:val="99"/>
    <w:pPr>
      <w:spacing w:after="120"/>
      <w:ind w:left="420" w:leftChars="200"/>
    </w:pPr>
  </w:style>
  <w:style w:type="paragraph" w:styleId="17">
    <w:name w:val="toc 5"/>
    <w:basedOn w:val="1"/>
    <w:next w:val="1"/>
    <w:autoRedefine/>
    <w:unhideWhenUsed/>
    <w:qFormat/>
    <w:uiPriority w:val="39"/>
    <w:pPr>
      <w:ind w:left="960"/>
      <w:jc w:val="left"/>
    </w:pPr>
    <w:rPr>
      <w:rFonts w:asciiTheme="minorHAnsi" w:hAnsiTheme="minorHAnsi" w:cstheme="minorHAnsi"/>
      <w:sz w:val="18"/>
      <w:szCs w:val="18"/>
    </w:rPr>
  </w:style>
  <w:style w:type="paragraph" w:styleId="18">
    <w:name w:val="toc 3"/>
    <w:basedOn w:val="1"/>
    <w:next w:val="1"/>
    <w:autoRedefine/>
    <w:unhideWhenUsed/>
    <w:qFormat/>
    <w:uiPriority w:val="39"/>
    <w:pPr>
      <w:ind w:left="480"/>
      <w:jc w:val="left"/>
    </w:pPr>
    <w:rPr>
      <w:rFonts w:asciiTheme="minorHAnsi" w:hAnsiTheme="minorHAnsi" w:cstheme="minorHAnsi"/>
      <w:i/>
      <w:iCs/>
      <w:sz w:val="20"/>
      <w:szCs w:val="20"/>
    </w:rPr>
  </w:style>
  <w:style w:type="paragraph" w:styleId="19">
    <w:name w:val="toc 8"/>
    <w:basedOn w:val="1"/>
    <w:next w:val="1"/>
    <w:autoRedefine/>
    <w:unhideWhenUsed/>
    <w:qFormat/>
    <w:uiPriority w:val="39"/>
    <w:pPr>
      <w:ind w:left="1680"/>
      <w:jc w:val="left"/>
    </w:pPr>
    <w:rPr>
      <w:rFonts w:asciiTheme="minorHAnsi" w:hAnsiTheme="minorHAnsi" w:cstheme="minorHAnsi"/>
      <w:sz w:val="18"/>
      <w:szCs w:val="18"/>
    </w:rPr>
  </w:style>
  <w:style w:type="paragraph" w:styleId="20">
    <w:name w:val="Balloon Text"/>
    <w:basedOn w:val="1"/>
    <w:link w:val="48"/>
    <w:unhideWhenUsed/>
    <w:qFormat/>
    <w:uiPriority w:val="0"/>
    <w:pPr>
      <w:spacing w:line="240" w:lineRule="auto"/>
    </w:pPr>
    <w:rPr>
      <w:sz w:val="18"/>
      <w:szCs w:val="18"/>
    </w:rPr>
  </w:style>
  <w:style w:type="paragraph" w:styleId="21">
    <w:name w:val="footer"/>
    <w:basedOn w:val="1"/>
    <w:link w:val="35"/>
    <w:unhideWhenUsed/>
    <w:qFormat/>
    <w:uiPriority w:val="99"/>
    <w:pPr>
      <w:tabs>
        <w:tab w:val="center" w:pos="4153"/>
        <w:tab w:val="right" w:pos="8306"/>
      </w:tabs>
      <w:snapToGrid w:val="0"/>
      <w:jc w:val="left"/>
    </w:pPr>
    <w:rPr>
      <w:sz w:val="18"/>
      <w:szCs w:val="18"/>
    </w:rPr>
  </w:style>
  <w:style w:type="paragraph" w:styleId="22">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autoRedefine/>
    <w:unhideWhenUsed/>
    <w:qFormat/>
    <w:uiPriority w:val="39"/>
    <w:pPr>
      <w:spacing w:before="120" w:after="120"/>
      <w:jc w:val="left"/>
    </w:pPr>
    <w:rPr>
      <w:rFonts w:asciiTheme="minorHAnsi" w:hAnsiTheme="minorHAnsi" w:cstheme="minorHAnsi"/>
      <w:b/>
      <w:bCs/>
      <w:caps/>
      <w:sz w:val="20"/>
      <w:szCs w:val="20"/>
    </w:rPr>
  </w:style>
  <w:style w:type="paragraph" w:styleId="24">
    <w:name w:val="toc 4"/>
    <w:basedOn w:val="1"/>
    <w:next w:val="1"/>
    <w:autoRedefine/>
    <w:unhideWhenUsed/>
    <w:qFormat/>
    <w:uiPriority w:val="39"/>
    <w:pPr>
      <w:ind w:left="720"/>
      <w:jc w:val="left"/>
    </w:pPr>
    <w:rPr>
      <w:rFonts w:asciiTheme="minorHAnsi" w:hAnsiTheme="minorHAnsi" w:cstheme="minorHAnsi"/>
      <w:sz w:val="18"/>
      <w:szCs w:val="18"/>
    </w:rPr>
  </w:style>
  <w:style w:type="paragraph" w:styleId="25">
    <w:name w:val="toc 6"/>
    <w:basedOn w:val="1"/>
    <w:next w:val="1"/>
    <w:autoRedefine/>
    <w:unhideWhenUsed/>
    <w:qFormat/>
    <w:uiPriority w:val="39"/>
    <w:pPr>
      <w:ind w:left="1200"/>
      <w:jc w:val="left"/>
    </w:pPr>
    <w:rPr>
      <w:rFonts w:asciiTheme="minorHAnsi" w:hAnsiTheme="minorHAnsi" w:cstheme="minorHAnsi"/>
      <w:sz w:val="18"/>
      <w:szCs w:val="18"/>
    </w:rPr>
  </w:style>
  <w:style w:type="paragraph" w:styleId="26">
    <w:name w:val="toc 2"/>
    <w:basedOn w:val="1"/>
    <w:next w:val="1"/>
    <w:autoRedefine/>
    <w:unhideWhenUsed/>
    <w:qFormat/>
    <w:uiPriority w:val="39"/>
    <w:pPr>
      <w:ind w:left="240"/>
      <w:jc w:val="left"/>
    </w:pPr>
    <w:rPr>
      <w:rFonts w:asciiTheme="minorHAnsi" w:hAnsiTheme="minorHAnsi" w:cstheme="minorHAnsi"/>
      <w:smallCaps/>
      <w:sz w:val="20"/>
      <w:szCs w:val="20"/>
    </w:rPr>
  </w:style>
  <w:style w:type="paragraph" w:styleId="27">
    <w:name w:val="toc 9"/>
    <w:basedOn w:val="1"/>
    <w:next w:val="1"/>
    <w:autoRedefine/>
    <w:unhideWhenUsed/>
    <w:qFormat/>
    <w:uiPriority w:val="39"/>
    <w:pPr>
      <w:ind w:left="1920"/>
      <w:jc w:val="left"/>
    </w:pPr>
    <w:rPr>
      <w:rFonts w:asciiTheme="minorHAnsi" w:hAnsiTheme="minorHAnsi" w:cstheme="minorHAnsi"/>
      <w:sz w:val="18"/>
      <w:szCs w:val="18"/>
    </w:rPr>
  </w:style>
  <w:style w:type="paragraph" w:styleId="28">
    <w:name w:val="annotation subject"/>
    <w:basedOn w:val="14"/>
    <w:next w:val="14"/>
    <w:link w:val="61"/>
    <w:semiHidden/>
    <w:unhideWhenUsed/>
    <w:qFormat/>
    <w:uiPriority w:val="99"/>
    <w:rPr>
      <w:b/>
      <w:bCs/>
    </w:rPr>
  </w:style>
  <w:style w:type="paragraph" w:styleId="29">
    <w:name w:val="Body Text First Indent 2"/>
    <w:basedOn w:val="16"/>
    <w:link w:val="57"/>
    <w:semiHidden/>
    <w:unhideWhenUsed/>
    <w:qFormat/>
    <w:uiPriority w:val="99"/>
    <w:pPr>
      <w:ind w:firstLine="420"/>
    </w:pPr>
  </w:style>
  <w:style w:type="character" w:styleId="32">
    <w:name w:val="Hyperlink"/>
    <w:basedOn w:val="31"/>
    <w:unhideWhenUsed/>
    <w:qFormat/>
    <w:uiPriority w:val="99"/>
    <w:rPr>
      <w:color w:val="0563C1" w:themeColor="hyperlink"/>
      <w:u w:val="single"/>
      <w14:textFill>
        <w14:solidFill>
          <w14:schemeClr w14:val="hlink"/>
        </w14:solidFill>
      </w14:textFill>
    </w:rPr>
  </w:style>
  <w:style w:type="character" w:styleId="33">
    <w:name w:val="annotation reference"/>
    <w:basedOn w:val="31"/>
    <w:semiHidden/>
    <w:unhideWhenUsed/>
    <w:qFormat/>
    <w:uiPriority w:val="99"/>
    <w:rPr>
      <w:sz w:val="21"/>
      <w:szCs w:val="21"/>
    </w:rPr>
  </w:style>
  <w:style w:type="character" w:customStyle="1" w:styleId="34">
    <w:name w:val="页眉 字符"/>
    <w:basedOn w:val="31"/>
    <w:link w:val="22"/>
    <w:qFormat/>
    <w:uiPriority w:val="99"/>
    <w:rPr>
      <w:sz w:val="18"/>
      <w:szCs w:val="18"/>
    </w:rPr>
  </w:style>
  <w:style w:type="character" w:customStyle="1" w:styleId="35">
    <w:name w:val="页脚 字符"/>
    <w:basedOn w:val="31"/>
    <w:link w:val="21"/>
    <w:qFormat/>
    <w:uiPriority w:val="99"/>
    <w:rPr>
      <w:sz w:val="18"/>
      <w:szCs w:val="18"/>
    </w:rPr>
  </w:style>
  <w:style w:type="character" w:customStyle="1" w:styleId="36">
    <w:name w:val="标题 1 字符"/>
    <w:basedOn w:val="31"/>
    <w:link w:val="3"/>
    <w:qFormat/>
    <w:uiPriority w:val="9"/>
    <w:rPr>
      <w:rFonts w:eastAsiaTheme="majorEastAsia"/>
      <w:b/>
      <w:bCs/>
      <w:kern w:val="44"/>
      <w:sz w:val="32"/>
      <w:szCs w:val="44"/>
    </w:rPr>
  </w:style>
  <w:style w:type="character" w:customStyle="1" w:styleId="37">
    <w:name w:val="标题 2 字符"/>
    <w:basedOn w:val="31"/>
    <w:link w:val="4"/>
    <w:qFormat/>
    <w:uiPriority w:val="9"/>
    <w:rPr>
      <w:rFonts w:ascii="宋体" w:hAnsi="宋体" w:eastAsiaTheme="majorEastAsia" w:cstheme="majorBidi"/>
      <w:b/>
      <w:bCs/>
      <w:sz w:val="30"/>
      <w:szCs w:val="32"/>
    </w:rPr>
  </w:style>
  <w:style w:type="character" w:customStyle="1" w:styleId="38">
    <w:name w:val="标题 3 字符"/>
    <w:basedOn w:val="31"/>
    <w:link w:val="5"/>
    <w:qFormat/>
    <w:uiPriority w:val="0"/>
    <w:rPr>
      <w:rFonts w:ascii="宋体" w:hAnsi="宋体" w:eastAsiaTheme="majorEastAsia"/>
      <w:b/>
      <w:bCs/>
      <w:sz w:val="28"/>
      <w:szCs w:val="32"/>
    </w:rPr>
  </w:style>
  <w:style w:type="character" w:customStyle="1" w:styleId="39">
    <w:name w:val="标题 4 字符"/>
    <w:basedOn w:val="31"/>
    <w:link w:val="6"/>
    <w:qFormat/>
    <w:uiPriority w:val="99"/>
    <w:rPr>
      <w:rFonts w:ascii="宋体" w:hAnsi="宋体" w:eastAsiaTheme="majorEastAsia" w:cstheme="majorBidi"/>
      <w:b/>
      <w:bCs/>
      <w:sz w:val="24"/>
      <w:szCs w:val="28"/>
    </w:rPr>
  </w:style>
  <w:style w:type="paragraph" w:styleId="40">
    <w:name w:val="No Spacing"/>
    <w:link w:val="53"/>
    <w:qFormat/>
    <w:uiPriority w:val="1"/>
    <w:pPr>
      <w:widowControl w:val="0"/>
      <w:spacing w:line="360" w:lineRule="auto"/>
      <w:jc w:val="both"/>
    </w:pPr>
    <w:rPr>
      <w:rFonts w:ascii="宋体" w:hAnsi="宋体" w:eastAsiaTheme="minorEastAsia" w:cstheme="minorBidi"/>
      <w:kern w:val="2"/>
      <w:sz w:val="24"/>
      <w:szCs w:val="22"/>
      <w:lang w:val="en-US" w:eastAsia="zh-CN" w:bidi="ar-SA"/>
    </w:rPr>
  </w:style>
  <w:style w:type="character" w:customStyle="1" w:styleId="41">
    <w:name w:val="标题 5 字符"/>
    <w:basedOn w:val="31"/>
    <w:link w:val="7"/>
    <w:qFormat/>
    <w:uiPriority w:val="9"/>
    <w:rPr>
      <w:rFonts w:ascii="宋体" w:hAnsi="宋体"/>
      <w:b/>
      <w:bCs/>
      <w:sz w:val="24"/>
      <w:szCs w:val="28"/>
    </w:rPr>
  </w:style>
  <w:style w:type="paragraph" w:customStyle="1" w:styleId="42">
    <w:name w:val="列出段落1"/>
    <w:basedOn w:val="1"/>
    <w:qFormat/>
    <w:uiPriority w:val="0"/>
    <w:pPr>
      <w:spacing w:line="240" w:lineRule="auto"/>
      <w:ind w:firstLine="420"/>
    </w:pPr>
    <w:rPr>
      <w:rFonts w:ascii="Times New Roman" w:hAnsi="Times New Roman" w:eastAsia="宋体" w:cs="Times New Roman"/>
      <w:sz w:val="21"/>
      <w:szCs w:val="24"/>
    </w:rPr>
  </w:style>
  <w:style w:type="paragraph" w:styleId="43">
    <w:name w:val="List Paragraph"/>
    <w:basedOn w:val="1"/>
    <w:qFormat/>
    <w:uiPriority w:val="34"/>
    <w:pPr>
      <w:ind w:firstLine="420"/>
    </w:pPr>
  </w:style>
  <w:style w:type="character" w:customStyle="1" w:styleId="44">
    <w:name w:val="标题 6 字符"/>
    <w:basedOn w:val="31"/>
    <w:link w:val="8"/>
    <w:qFormat/>
    <w:uiPriority w:val="9"/>
    <w:rPr>
      <w:rFonts w:asciiTheme="majorHAnsi" w:hAnsiTheme="majorHAnsi" w:eastAsiaTheme="majorEastAsia" w:cstheme="majorBidi"/>
      <w:b/>
      <w:bCs/>
      <w:sz w:val="24"/>
      <w:szCs w:val="24"/>
    </w:rPr>
  </w:style>
  <w:style w:type="character" w:customStyle="1" w:styleId="45">
    <w:name w:val="标题 7 字符"/>
    <w:basedOn w:val="31"/>
    <w:link w:val="9"/>
    <w:qFormat/>
    <w:uiPriority w:val="9"/>
    <w:rPr>
      <w:rFonts w:ascii="宋体" w:hAnsi="宋体"/>
      <w:b/>
      <w:bCs/>
      <w:sz w:val="24"/>
      <w:szCs w:val="24"/>
    </w:rPr>
  </w:style>
  <w:style w:type="character" w:customStyle="1" w:styleId="46">
    <w:name w:val="标题 8 字符"/>
    <w:basedOn w:val="31"/>
    <w:link w:val="10"/>
    <w:qFormat/>
    <w:uiPriority w:val="9"/>
    <w:rPr>
      <w:rFonts w:asciiTheme="majorHAnsi" w:hAnsiTheme="majorHAnsi" w:eastAsiaTheme="majorEastAsia" w:cstheme="majorBidi"/>
      <w:b/>
      <w:sz w:val="24"/>
      <w:szCs w:val="24"/>
    </w:rPr>
  </w:style>
  <w:style w:type="character" w:customStyle="1" w:styleId="47">
    <w:name w:val="标题 9 字符"/>
    <w:basedOn w:val="31"/>
    <w:link w:val="11"/>
    <w:qFormat/>
    <w:uiPriority w:val="9"/>
    <w:rPr>
      <w:rFonts w:asciiTheme="majorHAnsi" w:hAnsiTheme="majorHAnsi" w:eastAsiaTheme="majorEastAsia" w:cstheme="majorBidi"/>
      <w:b/>
      <w:szCs w:val="21"/>
    </w:rPr>
  </w:style>
  <w:style w:type="character" w:customStyle="1" w:styleId="48">
    <w:name w:val="批注框文本 字符"/>
    <w:basedOn w:val="31"/>
    <w:link w:val="20"/>
    <w:qFormat/>
    <w:uiPriority w:val="0"/>
    <w:rPr>
      <w:rFonts w:ascii="宋体" w:hAnsi="宋体"/>
      <w:sz w:val="18"/>
      <w:szCs w:val="18"/>
    </w:rPr>
  </w:style>
  <w:style w:type="paragraph" w:customStyle="1" w:styleId="49">
    <w:name w:val="TOC Heading"/>
    <w:basedOn w:val="3"/>
    <w:next w:val="1"/>
    <w:unhideWhenUsed/>
    <w:qFormat/>
    <w:uiPriority w:val="39"/>
    <w:pPr>
      <w:widowControl/>
      <w:numPr>
        <w:numId w:val="0"/>
      </w:numPr>
      <w:spacing w:before="240" w:after="0" w:line="259" w:lineRule="auto"/>
      <w:jc w:val="left"/>
      <w:outlineLvl w:val="9"/>
    </w:pPr>
    <w:rPr>
      <w:rFonts w:asciiTheme="majorHAnsi" w:hAnsiTheme="majorHAnsi" w:cstheme="majorBidi"/>
      <w:b w:val="0"/>
      <w:bCs w:val="0"/>
      <w:color w:val="2E75B6" w:themeColor="accent1" w:themeShade="BF"/>
      <w:kern w:val="0"/>
      <w:szCs w:val="32"/>
    </w:rPr>
  </w:style>
  <w:style w:type="character" w:customStyle="1" w:styleId="50">
    <w:name w:val="正文缩进 字符"/>
    <w:link w:val="13"/>
    <w:qFormat/>
    <w:uiPriority w:val="0"/>
    <w:rPr>
      <w:rFonts w:ascii="Times New Roman" w:hAnsi="Times New Roman" w:eastAsia="宋体" w:cs="Times New Roman"/>
      <w:szCs w:val="21"/>
    </w:rPr>
  </w:style>
  <w:style w:type="character" w:customStyle="1" w:styleId="51">
    <w:name w:val="正文缩进 字符1"/>
    <w:qFormat/>
    <w:uiPriority w:val="0"/>
    <w:rPr>
      <w:rFonts w:eastAsia="宋体"/>
      <w:kern w:val="2"/>
      <w:sz w:val="21"/>
      <w:szCs w:val="21"/>
      <w:lang w:val="en-US" w:eastAsia="zh-CN" w:bidi="ar-SA"/>
    </w:rPr>
  </w:style>
  <w:style w:type="character" w:customStyle="1" w:styleId="52">
    <w:name w:val="Unresolved Mention"/>
    <w:basedOn w:val="31"/>
    <w:semiHidden/>
    <w:unhideWhenUsed/>
    <w:qFormat/>
    <w:uiPriority w:val="99"/>
    <w:rPr>
      <w:color w:val="605E5C"/>
      <w:shd w:val="clear" w:color="auto" w:fill="E1DFDD"/>
    </w:rPr>
  </w:style>
  <w:style w:type="character" w:customStyle="1" w:styleId="53">
    <w:name w:val="无间隔 字符"/>
    <w:link w:val="40"/>
    <w:qFormat/>
    <w:uiPriority w:val="1"/>
    <w:rPr>
      <w:rFonts w:ascii="宋体" w:hAnsi="宋体"/>
      <w:sz w:val="24"/>
    </w:rPr>
  </w:style>
  <w:style w:type="character" w:customStyle="1" w:styleId="54">
    <w:name w:val="正文文本 字符"/>
    <w:basedOn w:val="31"/>
    <w:link w:val="15"/>
    <w:qFormat/>
    <w:uiPriority w:val="0"/>
    <w:rPr>
      <w:rFonts w:ascii="楷体_GB2312" w:hAnsi="Arial" w:eastAsia="楷体_GB2312" w:cs="Times New Roman"/>
      <w:sz w:val="28"/>
      <w:szCs w:val="28"/>
    </w:rPr>
  </w:style>
  <w:style w:type="paragraph" w:customStyle="1" w:styleId="55">
    <w:name w:val="Table Paragraph"/>
    <w:basedOn w:val="1"/>
    <w:qFormat/>
    <w:uiPriority w:val="1"/>
    <w:pPr>
      <w:ind w:firstLine="0" w:firstLineChars="0"/>
    </w:pPr>
    <w:rPr>
      <w:rFonts w:eastAsia="宋体" w:cs="宋体"/>
      <w:szCs w:val="20"/>
      <w:lang w:val="zh-CN" w:bidi="zh-CN"/>
    </w:rPr>
  </w:style>
  <w:style w:type="character" w:customStyle="1" w:styleId="56">
    <w:name w:val="正文文本缩进 字符"/>
    <w:basedOn w:val="31"/>
    <w:link w:val="16"/>
    <w:semiHidden/>
    <w:qFormat/>
    <w:uiPriority w:val="99"/>
    <w:rPr>
      <w:rFonts w:ascii="宋体" w:hAnsi="宋体"/>
      <w:sz w:val="24"/>
    </w:rPr>
  </w:style>
  <w:style w:type="character" w:customStyle="1" w:styleId="57">
    <w:name w:val="正文文本首行缩进 2 字符"/>
    <w:basedOn w:val="56"/>
    <w:link w:val="29"/>
    <w:semiHidden/>
    <w:qFormat/>
    <w:uiPriority w:val="99"/>
    <w:rPr>
      <w:rFonts w:ascii="宋体" w:hAnsi="宋体"/>
      <w:sz w:val="24"/>
    </w:rPr>
  </w:style>
  <w:style w:type="paragraph" w:customStyle="1" w:styleId="58">
    <w:name w:val="Char Char Char1 Char"/>
    <w:basedOn w:val="1"/>
    <w:qFormat/>
    <w:uiPriority w:val="0"/>
    <w:pPr>
      <w:spacing w:line="240" w:lineRule="auto"/>
      <w:ind w:firstLine="0" w:firstLineChars="0"/>
    </w:pPr>
    <w:rPr>
      <w:rFonts w:ascii="Times New Roman" w:hAnsi="Times New Roman" w:eastAsia="宋体" w:cs="Times New Roman"/>
      <w:sz w:val="21"/>
      <w:szCs w:val="20"/>
    </w:rPr>
  </w:style>
  <w:style w:type="character" w:customStyle="1" w:styleId="59">
    <w:name w:val="15"/>
    <w:qFormat/>
    <w:uiPriority w:val="0"/>
    <w:rPr>
      <w:rFonts w:hint="default" w:ascii="Times New Roman" w:hAnsi="Times New Roman" w:cs="Times New Roman"/>
      <w:b/>
    </w:rPr>
  </w:style>
  <w:style w:type="character" w:customStyle="1" w:styleId="60">
    <w:name w:val="批注文字 字符"/>
    <w:basedOn w:val="31"/>
    <w:link w:val="14"/>
    <w:qFormat/>
    <w:uiPriority w:val="99"/>
    <w:rPr>
      <w:rFonts w:ascii="宋体" w:hAnsi="宋体"/>
      <w:sz w:val="24"/>
    </w:rPr>
  </w:style>
  <w:style w:type="character" w:customStyle="1" w:styleId="61">
    <w:name w:val="批注主题 字符"/>
    <w:basedOn w:val="60"/>
    <w:link w:val="28"/>
    <w:semiHidden/>
    <w:qFormat/>
    <w:uiPriority w:val="99"/>
    <w:rPr>
      <w:rFonts w:ascii="宋体" w:hAnsi="宋体"/>
      <w:b/>
      <w:bCs/>
      <w:sz w:val="24"/>
    </w:rPr>
  </w:style>
  <w:style w:type="character" w:customStyle="1" w:styleId="62">
    <w:name w:val="Subtle Emphasis"/>
    <w:basedOn w:val="31"/>
    <w:qFormat/>
    <w:uiPriority w:val="19"/>
    <w:rPr>
      <w:i/>
      <w:iCs/>
      <w:color w:val="404040" w:themeColor="text1" w:themeTint="BF"/>
      <w14:textFill>
        <w14:solidFill>
          <w14:schemeClr w14:val="tx1">
            <w14:lumMod w14:val="75000"/>
            <w14:lumOff w14:val="25000"/>
          </w14:schemeClr>
        </w14:solidFill>
      </w14:textFill>
    </w:rPr>
  </w:style>
  <w:style w:type="paragraph" w:customStyle="1" w:styleId="63">
    <w:name w:val="无间隔1"/>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6EF34FB7-E588-4241-A191-F05739CBA195}">
  <ds:schemaRefs/>
</ds:datastoreItem>
</file>

<file path=docProps/app.xml><?xml version="1.0" encoding="utf-8"?>
<Properties xmlns="http://schemas.openxmlformats.org/officeDocument/2006/extended-properties" xmlns:vt="http://schemas.openxmlformats.org/officeDocument/2006/docPropsVTypes">
  <Template>Normal.dotm</Template>
  <Pages>6</Pages>
  <Words>3713</Words>
  <Characters>3817</Characters>
  <Lines>110</Lines>
  <Paragraphs>31</Paragraphs>
  <TotalTime>3</TotalTime>
  <ScaleCrop>false</ScaleCrop>
  <LinksUpToDate>false</LinksUpToDate>
  <CharactersWithSpaces>3909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2024-04-10T17:17:00Z</dcterms:created>
  <dc:creator>qq q</dc:creator>
  <cp:lastModifiedBy>李臣丞</cp:lastModifiedBy>
  <cp:lastPrinted>2022-06-18T08:44:00Z</cp:lastPrinted>
  <dcterms:modified xsi:type="dcterms:W3CDTF">2026-10-19T09:29:36Z</dcterms:modified>
  <cp:revision>341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eyJoZGlkIjoiNDA5MDA1YmQ3YjU0NTdmMjIwNDlkOWM5NzM4MTcyODciLCJ1c2VySWQiOiIyMjY5MTYxOTcifQ==</vt:lpwstr>
  </property>
  <property fmtid="{D5CDD505-2E9C-101B-9397-08002B2CF9AE}" pid="3" name="KSOProductBuildVer">
    <vt:lpwstr>2052-12.1.0.29161</vt:lpwstr>
  </property>
  <property fmtid="{D5CDD505-2E9C-101B-9397-08002B2CF9AE}" pid="4" name="ICV">
    <vt:lpwstr>E742DBD5416643B69588BBCF2EC8EBF8_13</vt:lpwstr>
  </property>
</Properties>
</file>