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黑体" w:hAnsi="黑体" w:eastAsia="黑体"/>
          <w:b/>
          <w:sz w:val="36"/>
          <w:szCs w:val="36"/>
        </w:rPr>
      </w:pPr>
      <w:bookmarkStart w:id="0" w:name="_GoBack"/>
      <w:bookmarkEnd w:id="0"/>
      <w:r>
        <w:rPr>
          <w:rFonts w:hint="eastAsia" w:ascii="黑体" w:hAnsi="黑体" w:eastAsia="黑体"/>
          <w:b/>
          <w:sz w:val="30"/>
          <w:szCs w:val="30"/>
        </w:rPr>
        <w:t>十堰市妇幼保健院水系统招标</w:t>
      </w:r>
      <w:r>
        <w:rPr>
          <w:rFonts w:hint="eastAsia" w:ascii="黑体" w:hAnsi="黑体" w:eastAsia="黑体"/>
          <w:b/>
          <w:sz w:val="30"/>
          <w:szCs w:val="30"/>
          <w:lang w:eastAsia="zh-CN"/>
        </w:rPr>
        <w:t>服务要求</w:t>
      </w:r>
      <w:r>
        <w:rPr>
          <w:rFonts w:hint="eastAsia" w:ascii="黑体" w:hAnsi="黑体" w:eastAsia="黑体"/>
          <w:b/>
          <w:sz w:val="30"/>
          <w:szCs w:val="30"/>
        </w:rPr>
        <w:t>表</w:t>
      </w:r>
    </w:p>
    <w:tbl>
      <w:tblPr>
        <w:tblStyle w:val="5"/>
        <w:tblW w:w="10443"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4"/>
        <w:gridCol w:w="3630"/>
        <w:gridCol w:w="1470"/>
        <w:gridCol w:w="3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5" w:hRule="exact"/>
        </w:trPr>
        <w:tc>
          <w:tcPr>
            <w:tcW w:w="1944" w:type="dxa"/>
            <w:vAlign w:val="center"/>
          </w:tcPr>
          <w:p>
            <w:pPr>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b/>
                <w:bCs/>
                <w:color w:val="000000" w:themeColor="text1"/>
                <w:sz w:val="28"/>
                <w:szCs w:val="28"/>
                <w14:textFill>
                  <w14:solidFill>
                    <w14:schemeClr w14:val="tx1"/>
                  </w14:solidFill>
                </w14:textFill>
              </w:rPr>
              <w:t>维保项目名称</w:t>
            </w:r>
          </w:p>
        </w:tc>
        <w:tc>
          <w:tcPr>
            <w:tcW w:w="3630" w:type="dxa"/>
            <w:vAlign w:val="center"/>
          </w:tcPr>
          <w:p>
            <w:pPr>
              <w:rPr>
                <w:rFonts w:ascii="仿宋_GB2312" w:hAnsi="仿宋" w:eastAsia="仿宋_GB2312"/>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水系统运维项目（新院区+西院区）</w:t>
            </w:r>
          </w:p>
        </w:tc>
        <w:tc>
          <w:tcPr>
            <w:tcW w:w="1470" w:type="dxa"/>
            <w:vAlign w:val="center"/>
          </w:tcPr>
          <w:p>
            <w:pPr>
              <w:rPr>
                <w:rFonts w:ascii="仿宋_GB2312" w:hAnsi="宋体"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企业类别</w:t>
            </w:r>
          </w:p>
        </w:tc>
        <w:tc>
          <w:tcPr>
            <w:tcW w:w="3399" w:type="dxa"/>
            <w:vAlign w:val="center"/>
          </w:tcPr>
          <w:p>
            <w:pPr>
              <w:rPr>
                <w:rFonts w:ascii="仿宋_GB2312" w:hAnsi="宋体" w:eastAsia="仿宋_GB2312" w:cs="宋体"/>
                <w:color w:val="000000" w:themeColor="text1"/>
                <w:sz w:val="28"/>
                <w:szCs w:val="28"/>
                <w14:textFill>
                  <w14:solidFill>
                    <w14:schemeClr w14:val="tx1"/>
                  </w14:solidFill>
                </w14:textFill>
              </w:rPr>
            </w:pPr>
            <w:r>
              <w:rPr>
                <w:rFonts w:hint="eastAsia" w:ascii="仿宋_GB2312" w:hAnsi="宋体" w:eastAsia="仿宋_GB2312" w:cs="宋体"/>
                <w:color w:val="000000" w:themeColor="text1"/>
                <w:sz w:val="28"/>
                <w:szCs w:val="28"/>
                <w14:textFill>
                  <w14:solidFill>
                    <w14:schemeClr w14:val="tx1"/>
                  </w14:solidFill>
                </w14:textFill>
              </w:rPr>
              <w:t>□市内</w:t>
            </w:r>
            <w:r>
              <w:rPr>
                <w:rFonts w:hint="eastAsia" w:ascii="仿宋_GB2312" w:hAnsi="仿宋" w:eastAsia="仿宋_GB2312"/>
                <w:color w:val="000000" w:themeColor="text1"/>
                <w:sz w:val="28"/>
                <w:szCs w:val="28"/>
                <w14:textFill>
                  <w14:solidFill>
                    <w14:schemeClr w14:val="tx1"/>
                  </w14:solidFill>
                </w14:textFill>
              </w:rPr>
              <w:t>；</w:t>
            </w:r>
            <w:r>
              <w:rPr>
                <w:rFonts w:hint="eastAsia" w:ascii="仿宋_GB2312" w:hAnsi="宋体" w:eastAsia="仿宋_GB2312" w:cs="宋体"/>
                <w:color w:val="000000" w:themeColor="text1"/>
                <w:sz w:val="28"/>
                <w:szCs w:val="28"/>
                <w14:textFill>
                  <w14:solidFill>
                    <w14:schemeClr w14:val="tx1"/>
                  </w14:solidFill>
                </w14:textFill>
              </w:rPr>
              <w:t>☑</w:t>
            </w:r>
            <w:r>
              <w:rPr>
                <w:rFonts w:hint="eastAsia" w:ascii="仿宋_GB2312" w:hAnsi="仿宋" w:eastAsia="仿宋_GB2312"/>
                <w:color w:val="000000" w:themeColor="text1"/>
                <w:sz w:val="28"/>
                <w:szCs w:val="28"/>
                <w14:textFill>
                  <w14:solidFill>
                    <w14:schemeClr w14:val="tx1"/>
                  </w14:solidFill>
                </w14:textFill>
              </w:rPr>
              <w:t>国内</w:t>
            </w:r>
            <w:r>
              <w:rPr>
                <w:rFonts w:hint="eastAsia" w:ascii="仿宋_GB2312" w:hAnsi="仿宋" w:eastAsia="仿宋_GB2312" w:cs="仿宋"/>
                <w:color w:val="000000" w:themeColor="text1"/>
                <w:sz w:val="28"/>
                <w:szCs w:val="28"/>
                <w14:textFill>
                  <w14:solidFill>
                    <w14:schemeClr w14:val="tx1"/>
                  </w14:solidFill>
                </w14:textFill>
              </w:rPr>
              <w:t>；</w:t>
            </w:r>
            <w:r>
              <w:rPr>
                <w:rFonts w:hint="eastAsia" w:ascii="仿宋_GB2312" w:hAnsi="宋体" w:eastAsia="仿宋_GB2312" w:cs="宋体"/>
                <w:color w:val="000000" w:themeColor="text1"/>
                <w:sz w:val="28"/>
                <w:szCs w:val="28"/>
                <w14:textFill>
                  <w14:solidFill>
                    <w14:schemeClr w14:val="tx1"/>
                  </w14:solidFill>
                </w14:textFill>
              </w:rPr>
              <w:t>□</w:t>
            </w:r>
            <w:r>
              <w:rPr>
                <w:rFonts w:hint="eastAsia" w:ascii="仿宋_GB2312" w:hAnsi="仿宋" w:eastAsia="仿宋_GB2312" w:cs="仿宋"/>
                <w:color w:val="000000" w:themeColor="text1"/>
                <w:sz w:val="28"/>
                <w:szCs w:val="28"/>
                <w14:textFill>
                  <w14:solidFill>
                    <w14:schemeClr w14:val="tx1"/>
                  </w14:solidFill>
                </w14:textFill>
              </w:rPr>
              <w:t>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exact"/>
        </w:trPr>
        <w:tc>
          <w:tcPr>
            <w:tcW w:w="1944" w:type="dxa"/>
            <w:vAlign w:val="center"/>
          </w:tcPr>
          <w:p>
            <w:pPr>
              <w:rPr>
                <w:rFonts w:ascii="仿宋_GB2312" w:hAnsi="仿宋" w:eastAsia="仿宋_GB2312"/>
                <w:b/>
                <w:bCs/>
                <w:color w:val="000000" w:themeColor="text1"/>
                <w:sz w:val="28"/>
                <w:szCs w:val="28"/>
                <w14:textFill>
                  <w14:solidFill>
                    <w14:schemeClr w14:val="tx1"/>
                  </w14:solidFill>
                </w14:textFill>
              </w:rPr>
            </w:pPr>
            <w:r>
              <w:rPr>
                <w:rFonts w:hint="eastAsia" w:ascii="仿宋_GB2312" w:hAnsi="仿宋" w:eastAsia="仿宋_GB2312"/>
                <w:b/>
                <w:bCs/>
                <w:color w:val="000000" w:themeColor="text1"/>
                <w:sz w:val="28"/>
                <w:szCs w:val="28"/>
                <w14:textFill>
                  <w14:solidFill>
                    <w14:schemeClr w14:val="tx1"/>
                  </w14:solidFill>
                </w14:textFill>
              </w:rPr>
              <w:t>维保描述</w:t>
            </w:r>
          </w:p>
        </w:tc>
        <w:tc>
          <w:tcPr>
            <w:tcW w:w="8499" w:type="dxa"/>
            <w:gridSpan w:val="3"/>
            <w:vAlign w:val="center"/>
          </w:tcPr>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根据新院区+西院区环保需求，确保环保设施完好，正常使用；确保污水处理达标排放，检测结果达标；确保及时清洗消毒二次供水系统，检测结果达标。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2" w:hRule="atLeast"/>
        </w:trPr>
        <w:tc>
          <w:tcPr>
            <w:tcW w:w="1944" w:type="dxa"/>
            <w:vAlign w:val="center"/>
          </w:tcPr>
          <w:p>
            <w:pPr>
              <w:spacing w:line="276" w:lineRule="auto"/>
              <w:jc w:val="center"/>
              <w:rPr>
                <w:rFonts w:hint="eastAsia" w:ascii="仿宋_GB2312" w:hAnsi="仿宋" w:eastAsia="仿宋_GB2312"/>
                <w:b/>
                <w:bCs/>
                <w:color w:val="000000" w:themeColor="text1"/>
                <w:sz w:val="28"/>
                <w:szCs w:val="28"/>
                <w:lang w:eastAsia="zh-CN"/>
                <w14:textFill>
                  <w14:solidFill>
                    <w14:schemeClr w14:val="tx1"/>
                  </w14:solidFill>
                </w14:textFill>
              </w:rPr>
            </w:pPr>
            <w:r>
              <w:rPr>
                <w:rFonts w:hint="eastAsia" w:ascii="仿宋_GB2312" w:hAnsi="仿宋" w:eastAsia="仿宋_GB2312"/>
                <w:b/>
                <w:bCs/>
                <w:color w:val="000000" w:themeColor="text1"/>
                <w:sz w:val="28"/>
                <w:szCs w:val="28"/>
                <w14:textFill>
                  <w14:solidFill>
                    <w14:schemeClr w14:val="tx1"/>
                  </w14:solidFill>
                </w14:textFill>
              </w:rPr>
              <w:t>具体</w:t>
            </w:r>
            <w:r>
              <w:rPr>
                <w:rFonts w:hint="eastAsia" w:ascii="仿宋_GB2312" w:hAnsi="仿宋" w:eastAsia="仿宋_GB2312"/>
                <w:b/>
                <w:bCs/>
                <w:color w:val="000000" w:themeColor="text1"/>
                <w:sz w:val="28"/>
                <w:szCs w:val="28"/>
                <w:lang w:eastAsia="zh-CN"/>
                <w14:textFill>
                  <w14:solidFill>
                    <w14:schemeClr w14:val="tx1"/>
                  </w14:solidFill>
                </w14:textFill>
              </w:rPr>
              <w:t>服务要求</w:t>
            </w:r>
          </w:p>
        </w:tc>
        <w:tc>
          <w:tcPr>
            <w:tcW w:w="8499" w:type="dxa"/>
            <w:gridSpan w:val="3"/>
          </w:tcPr>
          <w:p>
            <w:pPr>
              <w:pStyle w:val="4"/>
              <w:widowControl/>
              <w:spacing w:line="21" w:lineRule="atLeast"/>
              <w:rPr>
                <w:rFonts w:ascii="仿宋" w:hAnsi="仿宋" w:eastAsia="仿宋" w:cs="仿宋"/>
                <w:color w:val="000000" w:themeColor="text1"/>
                <w14:textFill>
                  <w14:solidFill>
                    <w14:schemeClr w14:val="tx1"/>
                  </w14:solidFill>
                </w14:textFill>
              </w:rPr>
            </w:pPr>
            <w:r>
              <w:rPr>
                <w:rStyle w:val="8"/>
                <w:rFonts w:hint="eastAsia" w:ascii="仿宋" w:hAnsi="仿宋" w:eastAsia="仿宋" w:cs="仿宋"/>
                <w:color w:val="000000" w:themeColor="text1"/>
                <w14:textFill>
                  <w14:solidFill>
                    <w14:schemeClr w14:val="tx1"/>
                  </w14:solidFill>
                </w14:textFill>
              </w:rPr>
              <w:t>一、运维范围</w:t>
            </w:r>
            <w:r>
              <w:rPr>
                <w:rFonts w:hint="eastAsia" w:ascii="仿宋" w:hAnsi="仿宋" w:eastAsia="仿宋" w:cs="仿宋"/>
                <w:color w:val="000000" w:themeColor="text1"/>
                <w14:textFill>
                  <w14:solidFill>
                    <w14:schemeClr w14:val="tx1"/>
                  </w14:solidFill>
                </w14:textFill>
              </w:rPr>
              <w:t xml:space="preserve">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  环保系统的运维范围包括：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  1、污水处理站运维；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  2、在线监测设备运维；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  3、常规检测（废水、废气、在线比对等）；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  4、环保相关填报咨询工作（排污许可证执行年报等）；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  5、二次供水系统清洗消毒及检测；  </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6、日常巡查工作。</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维保公司将对维护、维修范围内出现的故障免费人工进行修复(如人为的短路、断路、设备损坏等故障则不属维修范围)，超出1000元的设备损坏上报医院，由医院采购，维保公司负责安装；如设备老化损坏，无法修复的，由医院负责购买新的设备，维保公司负责安装。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  维保过程中医院应提供必要的工作环境及人员配合。</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二、环保系统中各子系统的服务范围</w:t>
            </w:r>
            <w:r>
              <w:rPr>
                <w:rFonts w:hint="eastAsia" w:ascii="仿宋" w:hAnsi="仿宋" w:eastAsia="仿宋" w:cs="仿宋"/>
                <w:color w:val="000000" w:themeColor="text1"/>
                <w14:textFill>
                  <w14:solidFill>
                    <w14:schemeClr w14:val="tx1"/>
                  </w14:solidFill>
                </w14:textFill>
              </w:rPr>
              <w:t xml:space="preserve">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  1、污水处理站系统 </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（1）负责保证污水处理站的正常运行，每日安排专人</w:t>
            </w:r>
            <w:r>
              <w:rPr>
                <w:rFonts w:hint="eastAsia" w:ascii="仿宋" w:hAnsi="仿宋" w:eastAsia="仿宋" w:cs="仿宋"/>
                <w:color w:val="000000" w:themeColor="text1"/>
                <w:lang w:eastAsia="zh-CN"/>
                <w14:textFill>
                  <w14:solidFill>
                    <w14:schemeClr w14:val="tx1"/>
                  </w14:solidFill>
                </w14:textFill>
              </w:rPr>
              <w:t>投放污水处理药剂（药剂的使用、存储必须按照国家相关法律要求执行）、</w:t>
            </w:r>
            <w:r>
              <w:rPr>
                <w:rFonts w:hint="eastAsia" w:ascii="仿宋" w:hAnsi="仿宋" w:eastAsia="仿宋" w:cs="仿宋"/>
                <w:color w:val="000000" w:themeColor="text1"/>
                <w14:textFill>
                  <w14:solidFill>
                    <w14:schemeClr w14:val="tx1"/>
                  </w14:solidFill>
                </w14:textFill>
              </w:rPr>
              <w:t>进行巡查并填写巡查记录</w:t>
            </w:r>
            <w:r>
              <w:rPr>
                <w:rFonts w:hint="eastAsia" w:ascii="仿宋" w:hAnsi="仿宋" w:eastAsia="仿宋" w:cs="仿宋"/>
                <w:color w:val="000000" w:themeColor="text1"/>
                <w:lang w:eastAsia="zh-CN"/>
                <w14:textFill>
                  <w14:solidFill>
                    <w14:schemeClr w14:val="tx1"/>
                  </w14:solidFill>
                </w14:textFill>
              </w:rPr>
              <w:t>，建立危化品的存放、领用发放台账、并设专人管理</w:t>
            </w:r>
            <w:r>
              <w:rPr>
                <w:rFonts w:hint="eastAsia" w:ascii="仿宋" w:hAnsi="仿宋" w:eastAsia="仿宋" w:cs="仿宋"/>
                <w:color w:val="000000" w:themeColor="text1"/>
                <w14:textFill>
                  <w14:solidFill>
                    <w14:schemeClr w14:val="tx1"/>
                  </w14:solidFill>
                </w14:textFill>
              </w:rPr>
              <w:t>；</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（2）定期进行设备检查，如发现隐患提前修复；</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（3）设备维修维护，设备发生故障时1小时内维保人员到场，技术问题24小时内解决，如24小时内无法解决则向环保管理部门提交说明备案；</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（4）对污水处理系统进行技术评估，提出不合理建议；</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（5）配合院方进行不合理项整改；</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（6）负责污水处理站台账建立，包含运维台账，设备维修台账等；</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（7）负责帮助甲方建立标识标牌管理制度</w:t>
            </w:r>
            <w:r>
              <w:rPr>
                <w:rFonts w:hint="eastAsia" w:ascii="仿宋" w:hAnsi="仿宋" w:eastAsia="仿宋" w:cs="仿宋"/>
                <w:color w:val="000000" w:themeColor="text1"/>
                <w:lang w:eastAsia="zh-CN"/>
                <w14:textFill>
                  <w14:solidFill>
                    <w14:schemeClr w14:val="tx1"/>
                  </w14:solidFill>
                </w14:textFill>
              </w:rPr>
              <w:t>，配合做好与环保等主管部门的沟通协调工作，迎接各类相关检查</w:t>
            </w:r>
            <w:r>
              <w:rPr>
                <w:rFonts w:hint="eastAsia" w:ascii="仿宋" w:hAnsi="仿宋" w:eastAsia="仿宋" w:cs="仿宋"/>
                <w:color w:val="000000" w:themeColor="text1"/>
                <w14:textFill>
                  <w14:solidFill>
                    <w14:schemeClr w14:val="tx1"/>
                  </w14:solidFill>
                </w14:textFill>
              </w:rPr>
              <w:t>；</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（8）化粪池内栅渣及污泥的清理。</w:t>
            </w:r>
          </w:p>
          <w:p>
            <w:pPr>
              <w:pStyle w:val="4"/>
              <w:widowControl/>
              <w:spacing w:line="21" w:lineRule="atLeast"/>
              <w:rPr>
                <w:rFonts w:ascii="仿宋" w:hAnsi="仿宋" w:eastAsia="仿宋" w:cs="仿宋"/>
                <w:color w:val="000000" w:themeColor="text1"/>
                <w14:textFill>
                  <w14:solidFill>
                    <w14:schemeClr w14:val="tx1"/>
                  </w14:solidFill>
                </w14:textFill>
              </w:rPr>
            </w:pP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  2、污水在线监测设备系统 </w:t>
            </w:r>
          </w:p>
          <w:p>
            <w:pPr>
              <w:pStyle w:val="4"/>
              <w:widowControl/>
              <w:ind w:firstLine="480" w:firstLineChars="200"/>
              <w:rPr>
                <w:rFonts w:hint="eastAsia" w:ascii="仿宋" w:hAnsi="仿宋" w:eastAsia="仿宋" w:cs="仿宋"/>
                <w:color w:val="000000" w:themeColor="text1"/>
                <w:lang w:eastAsia="zh-CN"/>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（1）负责污水在线设备的正常运行，每日安排专人进行巡查并填写巡查记录</w:t>
            </w:r>
            <w:r>
              <w:rPr>
                <w:rFonts w:hint="eastAsia" w:ascii="仿宋" w:hAnsi="仿宋" w:eastAsia="仿宋" w:cs="仿宋"/>
                <w:color w:val="000000" w:themeColor="text1"/>
                <w:lang w:eastAsia="zh-CN"/>
                <w14:textFill>
                  <w14:solidFill>
                    <w14:schemeClr w14:val="tx1"/>
                  </w14:solidFill>
                </w14:textFill>
              </w:rPr>
              <w:t>；</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（2）负责在线设备的常规配件更换，超出1000元配件更换上报医院，由院方采购或委托我方采购，我方负责安装；</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（3）负责在线设备试剂调配；</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（4）负责在线设备的校准核对；</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（5）负责在线设备的废液处置；</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（6）负责在线设备的台账建立；</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（7）负责帮助甲方建立标识标牌管理制度。</w:t>
            </w:r>
          </w:p>
          <w:p>
            <w:pPr>
              <w:numPr>
                <w:ilvl w:val="0"/>
                <w:numId w:val="1"/>
              </w:numPr>
              <w:ind w:firstLine="42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环保检测工作</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（1）按照排污许可证进行常规检测（提供相关资质）；</w:t>
            </w:r>
          </w:p>
          <w:p>
            <w:pPr>
              <w:pStyle w:val="4"/>
              <w:widowControl/>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w:t>
            </w:r>
            <w:r>
              <w:rPr>
                <w:rFonts w:hint="eastAsia" w:ascii="仿宋" w:hAnsi="仿宋" w:eastAsia="仿宋" w:cs="仿宋"/>
                <w:color w:val="000000" w:themeColor="text1"/>
                <w:lang w:eastAsia="zh-CN"/>
                <w14:textFill>
                  <w14:solidFill>
                    <w14:schemeClr w14:val="tx1"/>
                  </w14:solidFill>
                </w14:textFill>
              </w:rPr>
              <w:t>公共场所室内环境空气质量检测</w:t>
            </w:r>
            <w:r>
              <w:rPr>
                <w:rFonts w:hint="eastAsia" w:ascii="仿宋" w:hAnsi="仿宋" w:eastAsia="仿宋" w:cs="仿宋"/>
                <w:color w:val="000000" w:themeColor="text1"/>
                <w14:textFill>
                  <w14:solidFill>
                    <w14:schemeClr w14:val="tx1"/>
                  </w14:solidFill>
                </w14:textFill>
              </w:rPr>
              <w:t>（</w:t>
            </w:r>
            <w:r>
              <w:rPr>
                <w:rFonts w:hint="eastAsia" w:ascii="仿宋" w:hAnsi="仿宋" w:eastAsia="仿宋" w:cs="仿宋"/>
                <w:color w:val="000000" w:themeColor="text1"/>
                <w:lang w:eastAsia="zh-CN"/>
                <w14:textFill>
                  <w14:solidFill>
                    <w14:schemeClr w14:val="tx1"/>
                  </w14:solidFill>
                </w14:textFill>
              </w:rPr>
              <w:t>一</w:t>
            </w:r>
            <w:r>
              <w:rPr>
                <w:rFonts w:hint="eastAsia" w:ascii="仿宋" w:hAnsi="仿宋" w:eastAsia="仿宋" w:cs="仿宋"/>
                <w:color w:val="000000" w:themeColor="text1"/>
                <w14:textFill>
                  <w14:solidFill>
                    <w14:schemeClr w14:val="tx1"/>
                  </w14:solidFill>
                </w14:textFill>
              </w:rPr>
              <w:t>次/年）；</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（3）按时提交检测报告，负责报告的真实性和数据的可靠性。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  4、环保相关填报咨询工作</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（1）排污许可证管理（申请、延续、变更）；</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（2）排污许可证年度执行报告填报；</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（3）污染防治设施运行记录台账指导；</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（4）湖北省污染源监测信息管理与共享平台监测数据填报；</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（5）生态环境统计业务系统填报；</w:t>
            </w:r>
          </w:p>
          <w:p>
            <w:pPr>
              <w:pStyle w:val="4"/>
              <w:widowControl/>
              <w:spacing w:line="21" w:lineRule="atLeast"/>
              <w:ind w:firstLine="480" w:firstLineChars="200"/>
              <w:rPr>
                <w:rFonts w:hint="eastAsia" w:ascii="仿宋" w:hAnsi="仿宋" w:eastAsia="仿宋" w:cs="仿宋"/>
                <w:color w:val="000000" w:themeColor="text1"/>
                <w:lang w:eastAsia="zh-CN"/>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（6）湖北省危险废物监管物联网系统填报指导</w:t>
            </w:r>
            <w:r>
              <w:rPr>
                <w:rFonts w:hint="eastAsia" w:ascii="仿宋" w:hAnsi="仿宋" w:eastAsia="仿宋" w:cs="仿宋"/>
                <w:color w:val="000000" w:themeColor="text1"/>
                <w:lang w:eastAsia="zh-CN"/>
                <w14:textFill>
                  <w14:solidFill>
                    <w14:schemeClr w14:val="tx1"/>
                  </w14:solidFill>
                </w14:textFill>
              </w:rPr>
              <w:t>；</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（7）环保税相关申报工作；</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（8）环保相关法律法规解读与培训。</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  5、二次供水系统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  （1）每年两次二次供水系统清洗消毒；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  （2）每次二次供水系统清洗消毒后出具检测报告，保证达标后再投用；</w:t>
            </w:r>
          </w:p>
          <w:p>
            <w:pPr>
              <w:pStyle w:val="4"/>
              <w:widowControl/>
              <w:numPr>
                <w:ilvl w:val="0"/>
                <w:numId w:val="2"/>
              </w:numPr>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建立二次供水管理台账，便于记录和管理。</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  6、日常巡查工作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  （1）负责定期巡查医疗废物的管理分类；</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（2）负责巡查台账，并配合甲方建立规范台账；</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（3）负责检查医疗废物仓库的设计管理是否合理；</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（4）负责帮助甲方建立标识标牌管理制度。</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（5）排污管道检查；</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（6）环境保护主管部门的环保备案，资料传输等；</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（7）配合甲方应对环境执法工作；</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（8）帮助甲方应对环境应急工作（编制应急预案等相关报告单独收费）。</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三、维护标准</w:t>
            </w:r>
            <w:r>
              <w:rPr>
                <w:rFonts w:hint="eastAsia" w:ascii="仿宋" w:hAnsi="仿宋" w:eastAsia="仿宋" w:cs="仿宋"/>
                <w:color w:val="000000" w:themeColor="text1"/>
                <w14:textFill>
                  <w14:solidFill>
                    <w14:schemeClr w14:val="tx1"/>
                  </w14:solidFill>
                </w14:textFill>
              </w:rPr>
              <w:t xml:space="preserve">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  1、保证环保系统正常工作且达标；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  2、维护质量必须符合经双方核定的要求，并且满足现行环保规范的要求；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xml:space="preserve">  3、设备发生故障，维保公司接收到故障信息或接到使用方通知一小时内派人到达现场，二十四小时内检修解除故障，如24小时内无法解决则向环保管理部门提交说明备案。在确实没有配件的情况下应及时向贵单位汇报，并采取有效的应急措施，防止出现安全事故； </w:t>
            </w:r>
          </w:p>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  4、提供相关月度、季度检测报告，以方便医院备案；</w:t>
            </w:r>
          </w:p>
          <w:p>
            <w:pPr>
              <w:spacing w:line="360" w:lineRule="auto"/>
              <w:ind w:firstLine="480" w:firstLineChars="200"/>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r>
              <w:rPr>
                <w:rFonts w:hint="eastAsia" w:ascii="仿宋" w:hAnsi="仿宋" w:eastAsia="仿宋" w:cs="仿宋"/>
                <w:color w:val="000000" w:themeColor="text1"/>
                <w:kern w:val="0"/>
                <w:sz w:val="24"/>
                <w:lang w:bidi="ar"/>
                <w14:textFill>
                  <w14:solidFill>
                    <w14:schemeClr w14:val="tx1"/>
                  </w14:solidFill>
                </w14:textFill>
              </w:rPr>
              <w:t>污水处理后出水水质必须满足《医疗机构水污染物排放标准》GB18466-2005表二预处理排放标准，主要指标如下：</w:t>
            </w:r>
          </w:p>
          <w:tbl>
            <w:tblPr>
              <w:tblStyle w:val="5"/>
              <w:tblW w:w="8074" w:type="dxa"/>
              <w:tblInd w:w="93" w:type="dxa"/>
              <w:tblLayout w:type="autofit"/>
              <w:tblCellMar>
                <w:top w:w="15" w:type="dxa"/>
                <w:left w:w="15" w:type="dxa"/>
                <w:bottom w:w="15" w:type="dxa"/>
                <w:right w:w="15" w:type="dxa"/>
              </w:tblCellMar>
            </w:tblPr>
            <w:tblGrid>
              <w:gridCol w:w="1572"/>
              <w:gridCol w:w="1357"/>
              <w:gridCol w:w="1260"/>
              <w:gridCol w:w="1035"/>
              <w:gridCol w:w="1365"/>
              <w:gridCol w:w="1485"/>
            </w:tblGrid>
            <w:tr>
              <w:trPr>
                <w:trHeight w:val="453" w:hRule="atLeast"/>
              </w:trPr>
              <w:tc>
                <w:tcPr>
                  <w:tcW w:w="1572" w:type="dxa"/>
                  <w:tcBorders>
                    <w:top w:val="double" w:color="000000" w:sz="4" w:space="0"/>
                    <w:left w:val="nil"/>
                    <w:bottom w:val="single" w:color="000000" w:sz="4" w:space="0"/>
                    <w:right w:val="single" w:color="000000" w:sz="4" w:space="0"/>
                  </w:tcBorders>
                  <w:tcMar>
                    <w:top w:w="0" w:type="dxa"/>
                    <w:left w:w="0" w:type="dxa"/>
                    <w:bottom w:w="0" w:type="dxa"/>
                    <w:right w:w="0" w:type="dxa"/>
                  </w:tcMar>
                  <w:vAlign w:val="center"/>
                </w:tcPr>
                <w:p>
                  <w:pPr>
                    <w:jc w:val="center"/>
                    <w:rPr>
                      <w:rFonts w:ascii="仿宋" w:hAnsi="仿宋" w:eastAsia="仿宋" w:cs="仿宋"/>
                      <w:color w:val="000000" w:themeColor="text1"/>
                      <w:kern w:val="0"/>
                      <w:sz w:val="24"/>
                      <w:lang w:bidi="ar"/>
                      <w14:textFill>
                        <w14:solidFill>
                          <w14:schemeClr w14:val="tx1"/>
                        </w14:solidFill>
                      </w14:textFill>
                    </w:rPr>
                  </w:pPr>
                </w:p>
              </w:tc>
              <w:tc>
                <w:tcPr>
                  <w:tcW w:w="1357" w:type="dxa"/>
                  <w:tcBorders>
                    <w:top w:val="doub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CODcr（mg/l）</w:t>
                  </w:r>
                </w:p>
              </w:tc>
              <w:tc>
                <w:tcPr>
                  <w:tcW w:w="1260" w:type="dxa"/>
                  <w:tcBorders>
                    <w:top w:val="doub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BOD5（mg/l）</w:t>
                  </w:r>
                </w:p>
              </w:tc>
              <w:tc>
                <w:tcPr>
                  <w:tcW w:w="1035" w:type="dxa"/>
                  <w:tcBorders>
                    <w:top w:val="doub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SS（mg/l）</w:t>
                  </w:r>
                </w:p>
              </w:tc>
              <w:tc>
                <w:tcPr>
                  <w:tcW w:w="1365" w:type="dxa"/>
                  <w:tcBorders>
                    <w:top w:val="double" w:color="000000" w:sz="4" w:space="0"/>
                    <w:left w:val="single" w:color="000000" w:sz="4" w:space="0"/>
                    <w:bottom w:val="single" w:color="000000" w:sz="4" w:space="0"/>
                    <w:right w:val="nil"/>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大肠菌群（个/l）</w:t>
                  </w:r>
                </w:p>
              </w:tc>
              <w:tc>
                <w:tcPr>
                  <w:tcW w:w="1485" w:type="dxa"/>
                  <w:tcBorders>
                    <w:top w:val="double" w:color="000000" w:sz="4" w:space="0"/>
                    <w:left w:val="single" w:color="000000" w:sz="4" w:space="0"/>
                    <w:bottom w:val="single" w:color="000000" w:sz="4" w:space="0"/>
                    <w:right w:val="nil"/>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NH3-N（mg/l）</w:t>
                  </w:r>
                </w:p>
              </w:tc>
            </w:tr>
            <w:tr>
              <w:tblPrEx>
                <w:tblCellMar>
                  <w:top w:w="15" w:type="dxa"/>
                  <w:left w:w="15" w:type="dxa"/>
                  <w:bottom w:w="15" w:type="dxa"/>
                  <w:right w:w="15" w:type="dxa"/>
                </w:tblCellMar>
              </w:tblPrEx>
              <w:trPr>
                <w:trHeight w:val="476" w:hRule="atLeast"/>
              </w:trPr>
              <w:tc>
                <w:tcPr>
                  <w:tcW w:w="1572" w:type="dxa"/>
                  <w:tcBorders>
                    <w:top w:val="single" w:color="000000" w:sz="4" w:space="0"/>
                    <w:left w:val="nil"/>
                    <w:bottom w:val="double" w:color="000000" w:sz="4" w:space="0"/>
                    <w:right w:val="single" w:color="000000" w:sz="4" w:space="0"/>
                  </w:tcBorders>
                  <w:tcMar>
                    <w:top w:w="0" w:type="dxa"/>
                    <w:left w:w="0" w:type="dxa"/>
                    <w:bottom w:w="0" w:type="dxa"/>
                    <w:right w:w="0" w:type="dxa"/>
                  </w:tcMar>
                  <w:vAlign w:val="center"/>
                </w:tcPr>
                <w:p>
                  <w:pPr>
                    <w:jc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平均值＜</w:t>
                  </w:r>
                </w:p>
              </w:tc>
              <w:tc>
                <w:tcPr>
                  <w:tcW w:w="1357" w:type="dxa"/>
                  <w:tcBorders>
                    <w:top w:val="single" w:color="000000" w:sz="4" w:space="0"/>
                    <w:left w:val="single" w:color="000000" w:sz="4" w:space="0"/>
                    <w:bottom w:val="doub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250</w:t>
                  </w:r>
                </w:p>
              </w:tc>
              <w:tc>
                <w:tcPr>
                  <w:tcW w:w="1260" w:type="dxa"/>
                  <w:tcBorders>
                    <w:top w:val="single" w:color="000000" w:sz="4" w:space="0"/>
                    <w:left w:val="single" w:color="000000" w:sz="4" w:space="0"/>
                    <w:bottom w:val="doub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100</w:t>
                  </w:r>
                </w:p>
              </w:tc>
              <w:tc>
                <w:tcPr>
                  <w:tcW w:w="1035" w:type="dxa"/>
                  <w:tcBorders>
                    <w:top w:val="single" w:color="000000" w:sz="4" w:space="0"/>
                    <w:left w:val="single" w:color="000000" w:sz="4" w:space="0"/>
                    <w:bottom w:val="double" w:color="000000" w:sz="4" w:space="0"/>
                    <w:right w:val="single" w:color="000000" w:sz="4" w:space="0"/>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60</w:t>
                  </w:r>
                </w:p>
              </w:tc>
              <w:tc>
                <w:tcPr>
                  <w:tcW w:w="1365" w:type="dxa"/>
                  <w:tcBorders>
                    <w:top w:val="single" w:color="000000" w:sz="4" w:space="0"/>
                    <w:left w:val="single" w:color="000000" w:sz="4" w:space="0"/>
                    <w:bottom w:val="double" w:color="000000" w:sz="4" w:space="0"/>
                    <w:right w:val="nil"/>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5000</w:t>
                  </w:r>
                </w:p>
              </w:tc>
              <w:tc>
                <w:tcPr>
                  <w:tcW w:w="1485" w:type="dxa"/>
                  <w:tcBorders>
                    <w:top w:val="single" w:color="000000" w:sz="4" w:space="0"/>
                    <w:left w:val="single" w:color="000000" w:sz="4" w:space="0"/>
                    <w:bottom w:val="double" w:color="000000" w:sz="4" w:space="0"/>
                    <w:right w:val="nil"/>
                  </w:tcBorders>
                  <w:tcMar>
                    <w:top w:w="0" w:type="dxa"/>
                    <w:left w:w="0" w:type="dxa"/>
                    <w:bottom w:w="0" w:type="dxa"/>
                    <w:right w:w="0" w:type="dxa"/>
                  </w:tcMar>
                  <w:vAlign w:val="center"/>
                </w:tcPr>
                <w:p>
                  <w:pPr>
                    <w:widowControl/>
                    <w:spacing w:before="100" w:beforeAutospacing="1" w:after="100" w:afterAutospacing="1" w:line="336" w:lineRule="atLeast"/>
                    <w:jc w:val="center"/>
                    <w:textAlignment w:val="center"/>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45</w:t>
                  </w:r>
                </w:p>
              </w:tc>
            </w:tr>
          </w:tbl>
          <w:p>
            <w:pPr>
              <w:pStyle w:val="4"/>
              <w:widowControl/>
              <w:spacing w:line="21" w:lineRule="atLeast"/>
              <w:rPr>
                <w:rFonts w:ascii="仿宋" w:hAnsi="仿宋" w:eastAsia="仿宋" w:cs="仿宋"/>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四、环保设施检查维保服务方式</w:t>
            </w:r>
            <w:r>
              <w:rPr>
                <w:rFonts w:hint="eastAsia" w:ascii="仿宋" w:hAnsi="仿宋" w:eastAsia="仿宋" w:cs="仿宋"/>
                <w:color w:val="000000" w:themeColor="text1"/>
                <w14:textFill>
                  <w14:solidFill>
                    <w14:schemeClr w14:val="tx1"/>
                  </w14:solidFill>
                </w14:textFill>
              </w:rPr>
              <w:t xml:space="preserve"> </w:t>
            </w:r>
          </w:p>
          <w:p>
            <w:pPr>
              <w:pStyle w:val="4"/>
              <w:widowControl/>
              <w:spacing w:line="21" w:lineRule="atLeas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  在维保期内，对双方共同确认的维保范围内设备统一由维保公司根据要求进行检查、维修、保养。在维护保养期间所更换的材料、元器件、配件业主承担。</w:t>
            </w:r>
          </w:p>
          <w:p>
            <w:pPr>
              <w:pStyle w:val="4"/>
              <w:widowControl/>
              <w:spacing w:line="21" w:lineRule="atLeast"/>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lang w:val="en-US" w:eastAsia="zh-CN"/>
                <w14:textFill>
                  <w14:solidFill>
                    <w14:schemeClr w14:val="tx1"/>
                  </w14:solidFill>
                </w14:textFill>
              </w:rPr>
              <w:t>五、</w:t>
            </w:r>
            <w:r>
              <w:rPr>
                <w:rFonts w:hint="eastAsia" w:ascii="仿宋" w:hAnsi="仿宋" w:eastAsia="仿宋" w:cs="仿宋"/>
                <w:b/>
                <w:bCs/>
                <w:color w:val="000000" w:themeColor="text1"/>
                <w:lang w:eastAsia="zh-CN"/>
                <w14:textFill>
                  <w14:solidFill>
                    <w14:schemeClr w14:val="tx1"/>
                  </w14:solidFill>
                </w14:textFill>
              </w:rPr>
              <w:t>安全管理</w:t>
            </w:r>
            <w:r>
              <w:rPr>
                <w:rFonts w:hint="eastAsia" w:ascii="仿宋" w:hAnsi="仿宋" w:eastAsia="仿宋" w:cs="仿宋"/>
                <w:b/>
                <w:bCs/>
                <w:color w:val="000000" w:themeColor="text1"/>
                <w14:textFill>
                  <w14:solidFill>
                    <w14:schemeClr w14:val="tx1"/>
                  </w14:solidFill>
                </w14:textFill>
              </w:rPr>
              <w:t xml:space="preserve"> </w:t>
            </w:r>
          </w:p>
          <w:p>
            <w:pPr>
              <w:keepNext w:val="0"/>
              <w:keepLines w:val="0"/>
              <w:widowControl/>
              <w:suppressLineNumbers w:val="0"/>
              <w:ind w:firstLine="480" w:firstLineChars="20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委托运维方应对污水处理站工作人员做好三级安全教育培训，配备必要的个人防护用品，在进行受限空间（如进入污水池进行清淤等工作）、动火作业等高危作业时，需严格遵守国家及医院内部相关安全作业要求，进行安全规范作业。如发生安全生产事故由委托运维方承担一切后果。</w:t>
            </w:r>
          </w:p>
          <w:p>
            <w:pPr>
              <w:pStyle w:val="4"/>
              <w:widowControl/>
              <w:numPr>
                <w:ilvl w:val="0"/>
                <w:numId w:val="0"/>
              </w:numPr>
              <w:spacing w:line="21" w:lineRule="atLeast"/>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lang w:eastAsia="zh-CN"/>
                <w14:textFill>
                  <w14:solidFill>
                    <w14:schemeClr w14:val="tx1"/>
                  </w14:solidFill>
                </w14:textFill>
              </w:rPr>
              <w:t>六、</w:t>
            </w:r>
            <w:r>
              <w:rPr>
                <w:rFonts w:hint="eastAsia" w:ascii="仿宋" w:hAnsi="仿宋" w:eastAsia="仿宋" w:cs="仿宋"/>
                <w:b/>
                <w:bCs/>
                <w:color w:val="000000" w:themeColor="text1"/>
                <w14:textFill>
                  <w14:solidFill>
                    <w14:schemeClr w14:val="tx1"/>
                  </w14:solidFill>
                </w14:textFill>
              </w:rPr>
              <w:t xml:space="preserve">设备清单 </w:t>
            </w:r>
          </w:p>
          <w:p>
            <w:pPr>
              <w:ind w:firstLine="480" w:firstLineChars="200"/>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1、污水处理站（2个院区：新院区、西院区）：加药设备共2套、曝气风机共2套、生化系统共2套、相应管线共2套。</w:t>
            </w:r>
          </w:p>
          <w:p>
            <w:pPr>
              <w:ind w:firstLine="480" w:firstLineChars="200"/>
              <w:rPr>
                <w:rFonts w:ascii="仿宋" w:hAnsi="仿宋" w:eastAsia="仿宋" w:cs="仿宋"/>
                <w:color w:val="000000" w:themeColor="text1"/>
                <w:kern w:val="0"/>
                <w:sz w:val="24"/>
                <w:lang w:bidi="ar"/>
                <w14:textFill>
                  <w14:solidFill>
                    <w14:schemeClr w14:val="tx1"/>
                  </w14:solidFill>
                </w14:textFill>
              </w:rPr>
            </w:pPr>
            <w:r>
              <w:rPr>
                <w:rFonts w:hint="eastAsia" w:ascii="仿宋" w:hAnsi="仿宋" w:eastAsia="仿宋" w:cs="仿宋"/>
                <w:color w:val="000000" w:themeColor="text1"/>
                <w:kern w:val="0"/>
                <w:sz w:val="24"/>
                <w:lang w:bidi="ar"/>
                <w14:textFill>
                  <w14:solidFill>
                    <w14:schemeClr w14:val="tx1"/>
                  </w14:solidFill>
                </w14:textFill>
              </w:rPr>
              <w:t>2、在线设备监测设备（2个院区：新院区、西院区）：COD检测仪、氨氮检测仪、流量计、PH、余氯、数采仪、相应管线共2套。</w:t>
            </w:r>
          </w:p>
          <w:p>
            <w:pPr>
              <w:pStyle w:val="4"/>
              <w:widowControl/>
              <w:spacing w:line="21" w:lineRule="atLeast"/>
              <w:ind w:firstLine="480" w:firstLineChars="200"/>
              <w:rPr>
                <w:rFonts w:hint="eastAsia" w:ascii="仿宋" w:hAnsi="仿宋" w:eastAsia="仿宋" w:cs="仿宋"/>
                <w:color w:val="000000" w:themeColor="text1"/>
                <w:lang w:bidi="ar"/>
                <w14:textFill>
                  <w14:solidFill>
                    <w14:schemeClr w14:val="tx1"/>
                  </w14:solidFill>
                </w14:textFill>
              </w:rPr>
            </w:pPr>
            <w:r>
              <w:rPr>
                <w:rFonts w:hint="eastAsia" w:ascii="仿宋" w:hAnsi="仿宋" w:eastAsia="仿宋" w:cs="仿宋"/>
                <w:color w:val="000000" w:themeColor="text1"/>
                <w:lang w:bidi="ar"/>
                <w14:textFill>
                  <w14:solidFill>
                    <w14:schemeClr w14:val="tx1"/>
                  </w14:solidFill>
                </w14:textFill>
              </w:rPr>
              <w:t>3、二次供水水箱（2个院区：新院区、西院区）：新院区2个160立方水箱；西院区1个20立方水箱。</w:t>
            </w:r>
          </w:p>
          <w:p>
            <w:pPr>
              <w:pStyle w:val="4"/>
              <w:widowControl/>
              <w:numPr>
                <w:ilvl w:val="0"/>
                <w:numId w:val="0"/>
              </w:numPr>
              <w:spacing w:line="21" w:lineRule="atLeast"/>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lang w:eastAsia="zh-CN"/>
                <w14:textFill>
                  <w14:solidFill>
                    <w14:schemeClr w14:val="tx1"/>
                  </w14:solidFill>
                </w14:textFill>
              </w:rPr>
              <w:t>七、以上服务要求为符合性审查内容。</w:t>
            </w:r>
          </w:p>
          <w:p>
            <w:pPr>
              <w:pStyle w:val="4"/>
              <w:widowControl/>
              <w:spacing w:line="21" w:lineRule="atLeast"/>
              <w:ind w:firstLine="480" w:firstLineChars="200"/>
              <w:rPr>
                <w:rFonts w:ascii="仿宋" w:hAnsi="仿宋" w:eastAsia="仿宋" w:cs="仿宋"/>
                <w:color w:val="000000" w:themeColor="text1"/>
                <w14:textFill>
                  <w14:solidFill>
                    <w14:schemeClr w14:val="tx1"/>
                  </w14:solidFill>
                </w14:textFill>
              </w:rPr>
            </w:pPr>
          </w:p>
        </w:tc>
      </w:tr>
    </w:tbl>
    <w:p/>
    <w:sectPr>
      <w:headerReference r:id="rId3" w:type="default"/>
      <w:pgSz w:w="11906" w:h="16838"/>
      <w:pgMar w:top="568" w:right="1758"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68611B"/>
    <w:multiLevelType w:val="singleLevel"/>
    <w:tmpl w:val="A568611B"/>
    <w:lvl w:ilvl="0" w:tentative="0">
      <w:start w:val="3"/>
      <w:numFmt w:val="decimal"/>
      <w:suff w:val="nothing"/>
      <w:lvlText w:val="%1、"/>
      <w:lvlJc w:val="left"/>
    </w:lvl>
  </w:abstractNum>
  <w:abstractNum w:abstractNumId="1">
    <w:nsid w:val="6BF3C7A1"/>
    <w:multiLevelType w:val="singleLevel"/>
    <w:tmpl w:val="6BF3C7A1"/>
    <w:lvl w:ilvl="0" w:tentative="0">
      <w:start w:val="3"/>
      <w:numFmt w:val="decimal"/>
      <w:suff w:val="space"/>
      <w:lvlText w:val="（%1）"/>
      <w:lvlJc w:val="left"/>
      <w:pPr>
        <w:ind w:left="48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wNTQyNjIwMTY1Yzk1MGVmODA0OWYwN2FiODI1MTMifQ=="/>
  </w:docVars>
  <w:rsids>
    <w:rsidRoot w:val="20B85C82"/>
    <w:rsid w:val="025642B3"/>
    <w:rsid w:val="061B5A17"/>
    <w:rsid w:val="086E67F0"/>
    <w:rsid w:val="10DC580C"/>
    <w:rsid w:val="20B85C82"/>
    <w:rsid w:val="23360F74"/>
    <w:rsid w:val="2EEF13D8"/>
    <w:rsid w:val="37575D8E"/>
    <w:rsid w:val="380428DF"/>
    <w:rsid w:val="3D503167"/>
    <w:rsid w:val="46804482"/>
    <w:rsid w:val="47040B7D"/>
    <w:rsid w:val="4776488B"/>
    <w:rsid w:val="4D2E3778"/>
    <w:rsid w:val="524C0143"/>
    <w:rsid w:val="527E2C2B"/>
    <w:rsid w:val="5A022C9B"/>
    <w:rsid w:val="63650284"/>
    <w:rsid w:val="669B5400"/>
    <w:rsid w:val="69217536"/>
    <w:rsid w:val="6FF0210E"/>
    <w:rsid w:val="70366DC6"/>
    <w:rsid w:val="708F16A9"/>
    <w:rsid w:val="73597D57"/>
    <w:rsid w:val="74AB5269"/>
    <w:rsid w:val="76674B66"/>
    <w:rsid w:val="79386984"/>
    <w:rsid w:val="7D2626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pBdr>
        <w:left w:val="none" w:color="auto" w:sz="0" w:space="0"/>
      </w:pBdr>
      <w:spacing w:before="0" w:beforeAutospacing="0" w:after="150" w:afterAutospacing="0"/>
      <w:ind w:left="0" w:right="0"/>
      <w:jc w:val="left"/>
      <w:textAlignment w:val="center"/>
    </w:pPr>
    <w:rPr>
      <w:kern w:val="0"/>
      <w:sz w:val="24"/>
      <w:lang w:val="en-US" w:eastAsia="zh-CN" w:bidi="ar"/>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bCs/>
    </w:rPr>
  </w:style>
  <w:style w:type="character" w:customStyle="1" w:styleId="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2070</Words>
  <Characters>2165</Characters>
  <Lines>0</Lines>
  <Paragraphs>0</Paragraphs>
  <TotalTime>0</TotalTime>
  <ScaleCrop>false</ScaleCrop>
  <LinksUpToDate>false</LinksUpToDate>
  <CharactersWithSpaces>2188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2021-01-15T09:44:00Z</dcterms:created>
  <dc:creator>H</dc:creator>
  <cp:lastModifiedBy>空</cp:lastModifiedBy>
  <dcterms:modified xsi:type="dcterms:W3CDTF">2022-07-04T09:31:33Z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6A80415B20A94EA389F5866AE95A4480</vt:lpwstr>
  </property>
</Properties>
</file>