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b/>
          <w:sz w:val="32"/>
          <w:szCs w:val="32"/>
        </w:rPr>
      </w:pPr>
      <w:bookmarkStart w:id="0" w:name="_GoBack"/>
      <w:bookmarkEnd w:id="0"/>
      <w:r>
        <w:rPr>
          <w:rFonts w:asciiTheme="minorEastAsia" w:hAnsiTheme="minorEastAsia"/>
          <w:b/>
          <w:sz w:val="32"/>
          <w:szCs w:val="32"/>
        </w:rPr>
        <w:t>技术要求参数</w:t>
      </w:r>
    </w:p>
    <w:p>
      <w:pPr>
        <w:rPr>
          <w:rFonts w:asciiTheme="minorEastAsia" w:hAnsiTheme="minorEastAsia"/>
          <w:b/>
        </w:rPr>
      </w:pPr>
    </w:p>
    <w:tbl>
      <w:tblPr>
        <w:tblStyle w:val="12"/>
        <w:tblW w:w="9629" w:type="dxa"/>
        <w:jc w:val="center"/>
        <w:tblInd w:w="0" w:type="dxa"/>
        <w:tblBorders>
          <w:top w:val="single" w:color="auto" w:sz="4" w:space="0"/>
          <w:left w:val="single" w:color="auto" w:sz="8" w:space="0"/>
          <w:bottom w:val="single" w:color="auto" w:sz="4"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93"/>
        <w:gridCol w:w="1276"/>
        <w:gridCol w:w="7460"/>
      </w:tblGrid>
      <w:tr>
        <w:tblPrEx>
          <w:tblBorders>
            <w:top w:val="single" w:color="auto" w:sz="4" w:space="0"/>
            <w:left w:val="single" w:color="auto" w:sz="8" w:space="0"/>
            <w:bottom w:val="single" w:color="auto" w:sz="4"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80" w:hRule="atLeast"/>
          <w:jc w:val="center"/>
        </w:trPr>
        <w:tc>
          <w:tcPr>
            <w:tcW w:w="9629" w:type="dxa"/>
            <w:gridSpan w:val="3"/>
            <w:tcBorders>
              <w:top w:val="single" w:color="auto" w:sz="4" w:space="0"/>
              <w:left w:val="single" w:color="auto" w:sz="8" w:space="0"/>
              <w:bottom w:val="single" w:color="auto" w:sz="4" w:space="0"/>
              <w:right w:val="single" w:color="auto" w:sz="8" w:space="0"/>
            </w:tcBorders>
            <w:vAlign w:val="center"/>
          </w:tcPr>
          <w:p>
            <w:pPr>
              <w:rPr>
                <w:highlight w:val="yellow"/>
              </w:rPr>
            </w:pPr>
            <w:r>
              <w:rPr>
                <w:rFonts w:hint="eastAsia"/>
                <w:sz w:val="22"/>
                <w:highlight w:val="yellow"/>
              </w:rPr>
              <w:t>杀毒软件病毒更新授权</w:t>
            </w:r>
          </w:p>
        </w:tc>
      </w:tr>
      <w:tr>
        <w:tblPrEx>
          <w:tblBorders>
            <w:top w:val="single" w:color="auto" w:sz="4" w:space="0"/>
            <w:left w:val="single" w:color="auto" w:sz="8" w:space="0"/>
            <w:bottom w:val="single" w:color="auto" w:sz="4"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80" w:hRule="atLeast"/>
          <w:jc w:val="center"/>
        </w:trPr>
        <w:tc>
          <w:tcPr>
            <w:tcW w:w="893" w:type="dxa"/>
            <w:tcBorders>
              <w:top w:val="single" w:color="auto" w:sz="4" w:space="0"/>
              <w:left w:val="single" w:color="auto" w:sz="8" w:space="0"/>
              <w:bottom w:val="single" w:color="auto" w:sz="4" w:space="0"/>
              <w:right w:val="single" w:color="auto" w:sz="4" w:space="0"/>
            </w:tcBorders>
            <w:vAlign w:val="center"/>
          </w:tcPr>
          <w:p>
            <w:pPr>
              <w:spacing w:line="460" w:lineRule="exact"/>
              <w:jc w:val="center"/>
              <w:rPr>
                <w:rFonts w:ascii="宋体" w:hAnsi="宋体" w:cs="宋体"/>
                <w:szCs w:val="21"/>
              </w:rPr>
            </w:pPr>
            <w:r>
              <w:rPr>
                <w:rFonts w:hint="eastAsia" w:ascii="宋体" w:hAnsi="宋体" w:cs="宋体"/>
                <w:szCs w:val="21"/>
              </w:rPr>
              <w:t>序号</w:t>
            </w:r>
          </w:p>
        </w:tc>
        <w:tc>
          <w:tcPr>
            <w:tcW w:w="1276" w:type="dxa"/>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ascii="宋体" w:hAnsi="宋体" w:cs="宋体"/>
                <w:bCs/>
                <w:color w:val="000000"/>
                <w:szCs w:val="21"/>
              </w:rPr>
            </w:pPr>
            <w:r>
              <w:rPr>
                <w:rFonts w:hint="eastAsia" w:ascii="宋体" w:hAnsi="宋体" w:cs="宋体"/>
                <w:bCs/>
                <w:color w:val="000000"/>
                <w:szCs w:val="21"/>
              </w:rPr>
              <w:t>指标项</w:t>
            </w:r>
          </w:p>
        </w:tc>
        <w:tc>
          <w:tcPr>
            <w:tcW w:w="7460" w:type="dxa"/>
            <w:tcBorders>
              <w:top w:val="single" w:color="auto" w:sz="4" w:space="0"/>
              <w:left w:val="single" w:color="auto" w:sz="4" w:space="0"/>
              <w:bottom w:val="single" w:color="auto" w:sz="4" w:space="0"/>
              <w:right w:val="single" w:color="auto" w:sz="8" w:space="0"/>
            </w:tcBorders>
          </w:tcPr>
          <w:p>
            <w:pPr>
              <w:widowControl/>
              <w:snapToGrid w:val="0"/>
              <w:spacing w:line="460" w:lineRule="exact"/>
              <w:jc w:val="center"/>
              <w:rPr>
                <w:rFonts w:ascii="Arial" w:hAnsi="Arial" w:cs="Arial"/>
                <w:kern w:val="0"/>
                <w:szCs w:val="21"/>
                <w:highlight w:val="yellow"/>
              </w:rPr>
            </w:pPr>
            <w:r>
              <w:rPr>
                <w:kern w:val="0"/>
              </w:rPr>
              <w:t>技术需求指标</w:t>
            </w:r>
          </w:p>
        </w:tc>
      </w:tr>
      <w:tr>
        <w:tblPrEx>
          <w:tblBorders>
            <w:top w:val="single" w:color="auto" w:sz="4" w:space="0"/>
            <w:left w:val="single" w:color="auto" w:sz="8" w:space="0"/>
            <w:bottom w:val="single" w:color="auto" w:sz="4"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80" w:hRule="atLeast"/>
          <w:jc w:val="center"/>
        </w:trPr>
        <w:tc>
          <w:tcPr>
            <w:tcW w:w="893" w:type="dxa"/>
            <w:tcBorders>
              <w:top w:val="single" w:color="auto" w:sz="4" w:space="0"/>
              <w:left w:val="single" w:color="auto" w:sz="8" w:space="0"/>
              <w:bottom w:val="single" w:color="auto" w:sz="4" w:space="0"/>
              <w:right w:val="single" w:color="auto" w:sz="4" w:space="0"/>
            </w:tcBorders>
            <w:vAlign w:val="center"/>
          </w:tcPr>
          <w:p>
            <w:pPr>
              <w:spacing w:line="460" w:lineRule="exact"/>
              <w:jc w:val="center"/>
              <w:rPr>
                <w:rFonts w:ascii="宋体" w:hAnsi="宋体" w:cs="宋体"/>
                <w:szCs w:val="21"/>
              </w:rPr>
            </w:pPr>
            <w:r>
              <w:rPr>
                <w:rFonts w:hint="eastAsia" w:ascii="宋体" w:hAnsi="宋体" w:cs="宋体"/>
                <w:szCs w:val="21"/>
              </w:rPr>
              <w:t>1</w:t>
            </w:r>
          </w:p>
        </w:tc>
        <w:tc>
          <w:tcPr>
            <w:tcW w:w="1276" w:type="dxa"/>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ascii="宋体" w:hAnsi="宋体" w:cs="宋体"/>
                <w:bCs/>
                <w:color w:val="000000"/>
                <w:szCs w:val="21"/>
              </w:rPr>
            </w:pPr>
            <w:r>
              <w:rPr>
                <w:rFonts w:hint="eastAsia" w:ascii="宋体" w:hAnsi="宋体" w:cs="宋体"/>
                <w:bCs/>
                <w:color w:val="000000"/>
                <w:szCs w:val="21"/>
              </w:rPr>
              <w:t>数量要求</w:t>
            </w:r>
          </w:p>
        </w:tc>
        <w:tc>
          <w:tcPr>
            <w:tcW w:w="7460" w:type="dxa"/>
            <w:tcBorders>
              <w:top w:val="single" w:color="auto" w:sz="4" w:space="0"/>
              <w:left w:val="single" w:color="auto" w:sz="4" w:space="0"/>
              <w:bottom w:val="single" w:color="auto" w:sz="4" w:space="0"/>
              <w:right w:val="single" w:color="auto" w:sz="8" w:space="0"/>
            </w:tcBorders>
          </w:tcPr>
          <w:p>
            <w:pPr>
              <w:widowControl/>
              <w:numPr>
                <w:ilvl w:val="0"/>
                <w:numId w:val="2"/>
              </w:numPr>
              <w:snapToGrid w:val="0"/>
              <w:spacing w:line="460" w:lineRule="exact"/>
              <w:jc w:val="left"/>
              <w:rPr>
                <w:rFonts w:ascii="Arial" w:hAnsi="Arial" w:cs="Arial"/>
                <w:kern w:val="0"/>
                <w:szCs w:val="21"/>
              </w:rPr>
            </w:pPr>
            <w:r>
              <w:rPr>
                <w:rFonts w:hint="eastAsia" w:ascii="Arial" w:hAnsi="Arial" w:cs="Arial"/>
                <w:kern w:val="0"/>
                <w:szCs w:val="21"/>
              </w:rPr>
              <w:t>★提供虚拟化平台安全防护</w:t>
            </w:r>
            <w:r>
              <w:rPr>
                <w:rFonts w:ascii="Arial" w:hAnsi="Arial" w:cs="Arial"/>
                <w:kern w:val="0"/>
                <w:szCs w:val="21"/>
              </w:rPr>
              <w:t>90</w:t>
            </w:r>
            <w:r>
              <w:rPr>
                <w:rFonts w:hint="eastAsia" w:ascii="Arial" w:hAnsi="Arial" w:cs="Arial"/>
                <w:kern w:val="0"/>
                <w:szCs w:val="21"/>
              </w:rPr>
              <w:t>个宿主机安全防护续费授权。</w:t>
            </w:r>
          </w:p>
        </w:tc>
      </w:tr>
      <w:tr>
        <w:tblPrEx>
          <w:tblBorders>
            <w:top w:val="single" w:color="auto" w:sz="4" w:space="0"/>
            <w:left w:val="single" w:color="auto" w:sz="8" w:space="0"/>
            <w:bottom w:val="single" w:color="auto" w:sz="4"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80" w:hRule="atLeast"/>
          <w:jc w:val="center"/>
        </w:trPr>
        <w:tc>
          <w:tcPr>
            <w:tcW w:w="893" w:type="dxa"/>
            <w:tcBorders>
              <w:top w:val="single" w:color="auto" w:sz="4" w:space="0"/>
              <w:left w:val="single" w:color="auto" w:sz="8" w:space="0"/>
              <w:bottom w:val="single" w:color="auto" w:sz="4" w:space="0"/>
              <w:right w:val="single" w:color="auto" w:sz="4" w:space="0"/>
            </w:tcBorders>
            <w:vAlign w:val="center"/>
          </w:tcPr>
          <w:p>
            <w:pPr>
              <w:spacing w:line="460" w:lineRule="exact"/>
              <w:jc w:val="center"/>
              <w:rPr>
                <w:rFonts w:ascii="宋体" w:hAnsi="宋体" w:cs="宋体"/>
                <w:szCs w:val="21"/>
              </w:rPr>
            </w:pPr>
            <w:r>
              <w:rPr>
                <w:rFonts w:hint="eastAsia" w:ascii="宋体" w:hAnsi="宋体" w:cs="宋体"/>
                <w:szCs w:val="21"/>
              </w:rPr>
              <w:t>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ascii="宋体" w:hAnsi="宋体" w:cs="宋体"/>
                <w:bCs/>
                <w:color w:val="000000"/>
                <w:szCs w:val="21"/>
              </w:rPr>
            </w:pPr>
            <w:r>
              <w:rPr>
                <w:rFonts w:hint="eastAsia" w:ascii="宋体" w:hAnsi="宋体" w:cs="宋体"/>
                <w:bCs/>
                <w:color w:val="000000"/>
                <w:szCs w:val="21"/>
              </w:rPr>
              <w:t>兼容性</w:t>
            </w:r>
          </w:p>
        </w:tc>
        <w:tc>
          <w:tcPr>
            <w:tcW w:w="7460" w:type="dxa"/>
            <w:tcBorders>
              <w:top w:val="single" w:color="auto" w:sz="4" w:space="0"/>
              <w:left w:val="single" w:color="auto" w:sz="4" w:space="0"/>
              <w:bottom w:val="single" w:color="auto" w:sz="4" w:space="0"/>
              <w:right w:val="single" w:color="auto" w:sz="8" w:space="0"/>
            </w:tcBorders>
          </w:tcPr>
          <w:p>
            <w:pPr>
              <w:widowControl/>
              <w:numPr>
                <w:ilvl w:val="0"/>
                <w:numId w:val="2"/>
              </w:numPr>
              <w:snapToGrid w:val="0"/>
              <w:spacing w:line="460" w:lineRule="exact"/>
              <w:ind w:left="0" w:firstLine="0"/>
              <w:jc w:val="left"/>
              <w:rPr>
                <w:rFonts w:ascii="Arial" w:hAnsi="Arial" w:cs="Arial"/>
                <w:kern w:val="0"/>
                <w:szCs w:val="21"/>
              </w:rPr>
            </w:pPr>
            <w:r>
              <w:rPr>
                <w:rFonts w:hint="eastAsia" w:ascii="Arial" w:hAnsi="Arial" w:cs="Arial"/>
                <w:kern w:val="0"/>
                <w:szCs w:val="21"/>
              </w:rPr>
              <w:t>提供卡巴斯基</w:t>
            </w:r>
            <w:r>
              <w:rPr>
                <w:rFonts w:ascii="Arial" w:hAnsi="Arial" w:cs="Arial"/>
                <w:kern w:val="0"/>
                <w:szCs w:val="21"/>
              </w:rPr>
              <w:t>3</w:t>
            </w:r>
            <w:r>
              <w:rPr>
                <w:rFonts w:hint="eastAsia" w:ascii="Arial" w:hAnsi="Arial" w:cs="Arial"/>
                <w:kern w:val="0"/>
                <w:szCs w:val="21"/>
              </w:rPr>
              <w:t>年软件版本及特征库免费升级服务；</w:t>
            </w:r>
          </w:p>
          <w:p>
            <w:pPr>
              <w:widowControl/>
              <w:numPr>
                <w:ilvl w:val="0"/>
                <w:numId w:val="2"/>
              </w:numPr>
              <w:snapToGrid w:val="0"/>
              <w:spacing w:line="460" w:lineRule="exact"/>
              <w:ind w:left="0" w:firstLine="0"/>
              <w:jc w:val="left"/>
              <w:rPr>
                <w:rFonts w:ascii="Arial" w:hAnsi="Arial" w:cs="Arial"/>
                <w:kern w:val="0"/>
                <w:szCs w:val="21"/>
              </w:rPr>
            </w:pPr>
            <w:r>
              <w:rPr>
                <w:rFonts w:hint="eastAsia" w:ascii="Arial" w:hAnsi="Arial" w:cs="Arial"/>
                <w:kern w:val="0"/>
                <w:szCs w:val="21"/>
              </w:rPr>
              <w:t>与VMware vShield完全集成，提供实时的无代理反恶意程序保护，无需在虚拟机操作系统上安装任何安全代理软件，通过专属安全虚拟机SVA与VMware接口技术集成联动进行病毒防护，和传统防病毒客户端模式的产品相比，专属安全虚拟机SVA的无代理防护模式能减少对系统硬件资源的利用率；</w:t>
            </w:r>
          </w:p>
          <w:p>
            <w:pPr>
              <w:widowControl/>
              <w:numPr>
                <w:ilvl w:val="0"/>
                <w:numId w:val="2"/>
              </w:numPr>
              <w:snapToGrid w:val="0"/>
              <w:spacing w:line="460" w:lineRule="exact"/>
              <w:ind w:left="0" w:firstLine="0"/>
              <w:jc w:val="left"/>
              <w:rPr>
                <w:rFonts w:ascii="Arial" w:hAnsi="Arial" w:cs="Arial"/>
                <w:kern w:val="0"/>
                <w:szCs w:val="21"/>
              </w:rPr>
            </w:pPr>
            <w:r>
              <w:rPr>
                <w:rFonts w:hint="eastAsia" w:ascii="Arial" w:hAnsi="Arial" w:cs="Arial"/>
                <w:kern w:val="0"/>
                <w:szCs w:val="21"/>
              </w:rPr>
              <w:t>基于vShield Endpoint和NSX环境的无代理防病毒功能，也可以同时提供不基于vShield Endpoint和NSX的轻代理防护模式，并支持更多虚拟化系统，支持包含VMware、Citrix、Hyper-v、华为、红帽、KVM等虚拟化平台轻量代理模式，即客户端代理程序远小于传统代理程序，通过轻代理和安全虚拟机SVA联动进行安全防护，轻代理客户端本地不进行病毒扫描操作也无需更新病毒库，轻代理模式消除虚拟化环境中反病毒带来的扫描风暴、病毒库更新风暴等问题，并可实现两种模式虚拟化防病毒系统的集中管理；</w:t>
            </w:r>
          </w:p>
          <w:p>
            <w:pPr>
              <w:widowControl/>
              <w:numPr>
                <w:ilvl w:val="0"/>
                <w:numId w:val="2"/>
              </w:numPr>
              <w:snapToGrid w:val="0"/>
              <w:spacing w:line="460" w:lineRule="exact"/>
              <w:ind w:left="0" w:firstLine="0"/>
              <w:jc w:val="left"/>
              <w:rPr>
                <w:rFonts w:ascii="Arial" w:hAnsi="Arial" w:cs="Arial"/>
                <w:kern w:val="0"/>
                <w:szCs w:val="21"/>
              </w:rPr>
            </w:pPr>
            <w:r>
              <w:rPr>
                <w:rFonts w:hint="eastAsia" w:ascii="Arial" w:hAnsi="Arial" w:cs="Arial"/>
                <w:kern w:val="0"/>
                <w:szCs w:val="21"/>
              </w:rPr>
              <w:t>无代理模式反病毒程序部署过程中不能对主机或虚拟机进行重启，以保障虚拟化平台业务的连续性；</w:t>
            </w:r>
          </w:p>
        </w:tc>
      </w:tr>
      <w:tr>
        <w:tblPrEx>
          <w:tblBorders>
            <w:top w:val="single" w:color="auto" w:sz="4" w:space="0"/>
            <w:left w:val="single" w:color="auto" w:sz="8" w:space="0"/>
            <w:bottom w:val="single" w:color="auto" w:sz="4"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80" w:hRule="atLeast"/>
          <w:jc w:val="center"/>
        </w:trPr>
        <w:tc>
          <w:tcPr>
            <w:tcW w:w="893" w:type="dxa"/>
            <w:tcBorders>
              <w:top w:val="single" w:color="auto" w:sz="4" w:space="0"/>
              <w:left w:val="single" w:color="auto" w:sz="8" w:space="0"/>
              <w:bottom w:val="single" w:color="auto" w:sz="4" w:space="0"/>
              <w:right w:val="single" w:color="auto" w:sz="4" w:space="0"/>
            </w:tcBorders>
            <w:vAlign w:val="center"/>
          </w:tcPr>
          <w:p>
            <w:pPr>
              <w:spacing w:line="460" w:lineRule="exact"/>
              <w:jc w:val="center"/>
              <w:rPr>
                <w:rFonts w:ascii="宋体" w:hAnsi="宋体" w:cs="宋体"/>
                <w:szCs w:val="21"/>
              </w:rPr>
            </w:pPr>
            <w:r>
              <w:rPr>
                <w:rFonts w:hint="eastAsia" w:ascii="宋体" w:hAnsi="宋体" w:cs="宋体"/>
                <w:szCs w:val="21"/>
              </w:rPr>
              <w:t>3</w:t>
            </w:r>
          </w:p>
        </w:tc>
        <w:tc>
          <w:tcPr>
            <w:tcW w:w="1276" w:type="dxa"/>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ascii="宋体" w:hAnsi="宋体" w:cs="宋体"/>
                <w:bCs/>
                <w:color w:val="000000"/>
                <w:szCs w:val="21"/>
              </w:rPr>
            </w:pPr>
            <w:r>
              <w:rPr>
                <w:rFonts w:hint="eastAsia" w:ascii="宋体" w:hAnsi="宋体" w:cs="宋体"/>
                <w:bCs/>
                <w:color w:val="000000"/>
                <w:szCs w:val="21"/>
              </w:rPr>
              <w:t>病毒防护</w:t>
            </w:r>
          </w:p>
        </w:tc>
        <w:tc>
          <w:tcPr>
            <w:tcW w:w="7460" w:type="dxa"/>
            <w:tcBorders>
              <w:top w:val="single" w:color="auto" w:sz="4" w:space="0"/>
              <w:left w:val="single" w:color="auto" w:sz="4" w:space="0"/>
              <w:bottom w:val="single" w:color="auto" w:sz="4" w:space="0"/>
              <w:right w:val="single" w:color="auto" w:sz="8" w:space="0"/>
            </w:tcBorders>
          </w:tcPr>
          <w:p>
            <w:pPr>
              <w:widowControl/>
              <w:numPr>
                <w:ilvl w:val="0"/>
                <w:numId w:val="2"/>
              </w:numPr>
              <w:snapToGrid w:val="0"/>
              <w:spacing w:line="460" w:lineRule="exact"/>
              <w:ind w:left="0" w:firstLine="0"/>
              <w:jc w:val="left"/>
              <w:rPr>
                <w:rFonts w:ascii="Arial" w:hAnsi="Arial" w:cs="Arial"/>
                <w:kern w:val="0"/>
                <w:szCs w:val="21"/>
              </w:rPr>
            </w:pPr>
            <w:r>
              <w:rPr>
                <w:rFonts w:hint="eastAsia" w:ascii="Arial" w:hAnsi="Arial" w:cs="Arial"/>
                <w:kern w:val="0"/>
                <w:szCs w:val="21"/>
              </w:rPr>
              <w:t>支持压缩文件扫描，包含多级嵌套压缩文件，能够做到压缩包内清毒；</w:t>
            </w:r>
          </w:p>
          <w:p>
            <w:pPr>
              <w:widowControl/>
              <w:numPr>
                <w:ilvl w:val="0"/>
                <w:numId w:val="2"/>
              </w:numPr>
              <w:snapToGrid w:val="0"/>
              <w:spacing w:line="460" w:lineRule="exact"/>
              <w:ind w:left="0" w:firstLine="0"/>
              <w:jc w:val="left"/>
              <w:rPr>
                <w:rFonts w:ascii="Arial" w:hAnsi="Arial" w:cs="Arial"/>
                <w:b/>
                <w:bCs/>
                <w:kern w:val="0"/>
                <w:szCs w:val="21"/>
              </w:rPr>
            </w:pPr>
            <w:r>
              <w:rPr>
                <w:rFonts w:hint="eastAsia" w:ascii="Arial" w:hAnsi="Arial" w:cs="Arial"/>
                <w:kern w:val="0"/>
                <w:szCs w:val="21"/>
              </w:rPr>
              <w:t>★轻代理模式下支持邮件和网页反病毒，支持下列协议：POP3/SMTP/IMAP/MAPI/NNTP（</w:t>
            </w:r>
            <w:r>
              <w:rPr>
                <w:rFonts w:hint="eastAsia" w:ascii="Arial" w:hAnsi="Arial" w:cs="Arial"/>
                <w:b/>
                <w:bCs/>
                <w:kern w:val="0"/>
                <w:szCs w:val="21"/>
              </w:rPr>
              <w:t>要求提供功能截图，并加盖原厂商公章）；</w:t>
            </w:r>
          </w:p>
          <w:p>
            <w:pPr>
              <w:widowControl/>
              <w:numPr>
                <w:ilvl w:val="0"/>
                <w:numId w:val="2"/>
              </w:numPr>
              <w:snapToGrid w:val="0"/>
              <w:spacing w:line="460" w:lineRule="exact"/>
              <w:ind w:left="0" w:firstLine="0"/>
              <w:jc w:val="left"/>
              <w:rPr>
                <w:rFonts w:ascii="Arial" w:hAnsi="Arial" w:cs="Arial"/>
                <w:kern w:val="0"/>
                <w:szCs w:val="21"/>
              </w:rPr>
            </w:pPr>
            <w:r>
              <w:rPr>
                <w:rFonts w:hint="eastAsia" w:ascii="Arial" w:hAnsi="Arial" w:cs="Arial"/>
                <w:kern w:val="0"/>
                <w:szCs w:val="21"/>
              </w:rPr>
              <w:t>★轻代理模式可提供主动防御技术，安全防护能力高于无代理模式，产品具备系统监控主动防御技术，当恶意行为对系统关键区域比如注册表进破坏或修改后，可回滚恶意软件在操作系统上执行的操作，如通过系统监控主动防御技术发现未知勒索病毒进行拦截的同时能够回滚还原被勒索病毒加密破坏的文件（</w:t>
            </w:r>
            <w:r>
              <w:rPr>
                <w:rFonts w:hint="eastAsia" w:ascii="Arial" w:hAnsi="Arial" w:cs="Arial"/>
                <w:b/>
                <w:bCs/>
                <w:kern w:val="0"/>
                <w:szCs w:val="21"/>
              </w:rPr>
              <w:t>提供产品功能截图；并加盖原厂商公章</w:t>
            </w:r>
            <w:r>
              <w:rPr>
                <w:rFonts w:hint="eastAsia" w:ascii="Arial" w:hAnsi="Arial" w:cs="Arial"/>
                <w:kern w:val="0"/>
                <w:szCs w:val="21"/>
              </w:rPr>
              <w:t>）；</w:t>
            </w:r>
          </w:p>
          <w:p>
            <w:pPr>
              <w:widowControl/>
              <w:numPr>
                <w:ilvl w:val="0"/>
                <w:numId w:val="2"/>
              </w:numPr>
              <w:snapToGrid w:val="0"/>
              <w:spacing w:line="460" w:lineRule="exact"/>
              <w:ind w:left="0" w:firstLine="0"/>
              <w:jc w:val="left"/>
              <w:rPr>
                <w:rFonts w:ascii="Arial" w:hAnsi="Arial" w:cs="Arial"/>
                <w:kern w:val="0"/>
                <w:szCs w:val="21"/>
              </w:rPr>
            </w:pPr>
            <w:r>
              <w:rPr>
                <w:rFonts w:hint="eastAsia" w:ascii="Arial" w:hAnsi="Arial" w:cs="Arial"/>
                <w:kern w:val="0"/>
                <w:szCs w:val="21"/>
              </w:rPr>
              <w:t>★产品支持云安全网络，能够在第一时间抵御最新威胁和零日漏洞，并可在产品界面可查看相关数据（要求提供功能截图，并加盖原厂商公章）；</w:t>
            </w:r>
          </w:p>
        </w:tc>
      </w:tr>
      <w:tr>
        <w:tblPrEx>
          <w:tblBorders>
            <w:top w:val="single" w:color="auto" w:sz="4" w:space="0"/>
            <w:left w:val="single" w:color="auto" w:sz="8" w:space="0"/>
            <w:bottom w:val="single" w:color="auto" w:sz="4"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80" w:hRule="atLeast"/>
          <w:jc w:val="center"/>
        </w:trPr>
        <w:tc>
          <w:tcPr>
            <w:tcW w:w="893" w:type="dxa"/>
            <w:tcBorders>
              <w:top w:val="single" w:color="auto" w:sz="4" w:space="0"/>
              <w:left w:val="single" w:color="auto" w:sz="8" w:space="0"/>
              <w:bottom w:val="single" w:color="auto" w:sz="4" w:space="0"/>
              <w:right w:val="single" w:color="auto" w:sz="4" w:space="0"/>
            </w:tcBorders>
            <w:vAlign w:val="center"/>
          </w:tcPr>
          <w:p>
            <w:pPr>
              <w:spacing w:line="460" w:lineRule="exact"/>
              <w:jc w:val="center"/>
              <w:rPr>
                <w:rFonts w:ascii="宋体" w:hAnsi="宋体" w:cs="宋体"/>
                <w:szCs w:val="21"/>
              </w:rPr>
            </w:pPr>
            <w:r>
              <w:rPr>
                <w:rFonts w:hint="eastAsia" w:ascii="宋体" w:hAnsi="宋体" w:cs="宋体"/>
                <w:szCs w:val="21"/>
              </w:rPr>
              <w:t>4</w:t>
            </w:r>
          </w:p>
        </w:tc>
        <w:tc>
          <w:tcPr>
            <w:tcW w:w="1276" w:type="dxa"/>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ascii="宋体" w:hAnsi="宋体" w:cs="宋体"/>
                <w:bCs/>
                <w:color w:val="000000"/>
                <w:szCs w:val="21"/>
              </w:rPr>
            </w:pPr>
            <w:r>
              <w:rPr>
                <w:rFonts w:hint="eastAsia" w:ascii="宋体" w:hAnsi="宋体" w:cs="宋体"/>
                <w:bCs/>
                <w:color w:val="000000"/>
                <w:szCs w:val="21"/>
              </w:rPr>
              <w:t>攻击防护</w:t>
            </w:r>
          </w:p>
        </w:tc>
        <w:tc>
          <w:tcPr>
            <w:tcW w:w="7460" w:type="dxa"/>
            <w:tcBorders>
              <w:top w:val="single" w:color="auto" w:sz="4" w:space="0"/>
              <w:left w:val="single" w:color="auto" w:sz="4" w:space="0"/>
              <w:bottom w:val="single" w:color="auto" w:sz="4" w:space="0"/>
              <w:right w:val="single" w:color="auto" w:sz="8" w:space="0"/>
            </w:tcBorders>
          </w:tcPr>
          <w:p>
            <w:pPr>
              <w:widowControl/>
              <w:numPr>
                <w:ilvl w:val="0"/>
                <w:numId w:val="2"/>
              </w:numPr>
              <w:snapToGrid w:val="0"/>
              <w:spacing w:line="460" w:lineRule="exact"/>
              <w:ind w:left="0" w:firstLine="0"/>
              <w:jc w:val="left"/>
              <w:rPr>
                <w:rFonts w:ascii="Arial" w:hAnsi="Arial" w:cs="Arial"/>
                <w:kern w:val="0"/>
                <w:szCs w:val="21"/>
              </w:rPr>
            </w:pPr>
            <w:r>
              <w:rPr>
                <w:rFonts w:hint="eastAsia" w:ascii="Arial" w:hAnsi="Arial" w:cs="Arial"/>
                <w:kern w:val="0"/>
                <w:szCs w:val="21"/>
              </w:rPr>
              <w:t>无代理模式反网络攻击：够与VMware NSX接口技术集成，在虚拟分布交换机模式下提供IDS/IPS的反网络攻击防护功能；</w:t>
            </w:r>
          </w:p>
          <w:p>
            <w:pPr>
              <w:widowControl/>
              <w:numPr>
                <w:ilvl w:val="0"/>
                <w:numId w:val="2"/>
              </w:numPr>
              <w:snapToGrid w:val="0"/>
              <w:spacing w:line="460" w:lineRule="exact"/>
              <w:ind w:left="0" w:firstLine="0"/>
              <w:jc w:val="left"/>
              <w:rPr>
                <w:rFonts w:ascii="Arial" w:hAnsi="Arial" w:cs="Arial"/>
                <w:kern w:val="0"/>
                <w:szCs w:val="21"/>
              </w:rPr>
            </w:pPr>
            <w:r>
              <w:rPr>
                <w:rFonts w:hint="eastAsia" w:ascii="Arial" w:hAnsi="Arial" w:cs="Arial"/>
                <w:kern w:val="0"/>
                <w:szCs w:val="21"/>
              </w:rPr>
              <w:t>支持网络数据包规则的防火墙功能，通过建立防火墙策略规则对特定端口选定数据协议发送和接收网络流量；支持根据应用程序建立网络访问规则，对特定应用程序的网络活动评估和限制，阻止不合法的应用程序网络连接；</w:t>
            </w:r>
          </w:p>
          <w:p>
            <w:pPr>
              <w:widowControl/>
              <w:numPr>
                <w:ilvl w:val="0"/>
                <w:numId w:val="2"/>
              </w:numPr>
              <w:snapToGrid w:val="0"/>
              <w:spacing w:line="460" w:lineRule="exact"/>
              <w:ind w:left="0" w:firstLine="0"/>
              <w:jc w:val="left"/>
              <w:rPr>
                <w:rFonts w:ascii="Arial" w:hAnsi="Arial" w:cs="Arial"/>
                <w:kern w:val="0"/>
                <w:szCs w:val="21"/>
              </w:rPr>
            </w:pPr>
            <w:r>
              <w:rPr>
                <w:rFonts w:hint="eastAsia" w:ascii="Arial" w:hAnsi="Arial" w:cs="Arial"/>
                <w:kern w:val="0"/>
                <w:szCs w:val="21"/>
              </w:rPr>
              <w:t>★具备主机IPS功能，检测和抵御危险的网络活动和网络攻击，支持漏洞入侵防护技术，即系统未修补补丁程序可实现补丁自动热修复无需再安装补丁，并自动将攻击源加入攻击列表；（</w:t>
            </w:r>
            <w:r>
              <w:rPr>
                <w:rFonts w:hint="eastAsia" w:ascii="Arial" w:hAnsi="Arial" w:cs="Arial"/>
                <w:b/>
                <w:bCs/>
                <w:kern w:val="0"/>
                <w:szCs w:val="21"/>
              </w:rPr>
              <w:t>要求提供功能截图，并加盖原厂商公章）；</w:t>
            </w:r>
          </w:p>
        </w:tc>
      </w:tr>
      <w:tr>
        <w:tblPrEx>
          <w:tblBorders>
            <w:top w:val="single" w:color="auto" w:sz="4" w:space="0"/>
            <w:left w:val="single" w:color="auto" w:sz="8" w:space="0"/>
            <w:bottom w:val="single" w:color="auto" w:sz="4"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80" w:hRule="atLeast"/>
          <w:jc w:val="center"/>
        </w:trPr>
        <w:tc>
          <w:tcPr>
            <w:tcW w:w="893" w:type="dxa"/>
            <w:tcBorders>
              <w:top w:val="single" w:color="auto" w:sz="4" w:space="0"/>
              <w:left w:val="single" w:color="auto" w:sz="8" w:space="0"/>
              <w:bottom w:val="single" w:color="auto" w:sz="4" w:space="0"/>
              <w:right w:val="single" w:color="auto" w:sz="4" w:space="0"/>
            </w:tcBorders>
            <w:vAlign w:val="center"/>
          </w:tcPr>
          <w:p>
            <w:pPr>
              <w:spacing w:line="460" w:lineRule="exact"/>
              <w:jc w:val="center"/>
              <w:rPr>
                <w:rFonts w:ascii="宋体" w:hAnsi="宋体" w:cs="宋体"/>
                <w:szCs w:val="21"/>
              </w:rPr>
            </w:pPr>
            <w:r>
              <w:rPr>
                <w:rFonts w:hint="eastAsia" w:ascii="宋体" w:hAnsi="宋体" w:cs="宋体"/>
                <w:szCs w:val="21"/>
              </w:rPr>
              <w:t>5</w:t>
            </w:r>
          </w:p>
        </w:tc>
        <w:tc>
          <w:tcPr>
            <w:tcW w:w="1276" w:type="dxa"/>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ascii="宋体" w:hAnsi="宋体" w:cs="宋体"/>
                <w:bCs/>
                <w:color w:val="000000"/>
                <w:szCs w:val="21"/>
              </w:rPr>
            </w:pPr>
            <w:r>
              <w:rPr>
                <w:rFonts w:hint="eastAsia" w:ascii="宋体" w:hAnsi="宋体" w:cs="宋体"/>
                <w:bCs/>
                <w:color w:val="000000"/>
                <w:szCs w:val="21"/>
              </w:rPr>
              <w:t>工作站台合规性控制</w:t>
            </w:r>
          </w:p>
        </w:tc>
        <w:tc>
          <w:tcPr>
            <w:tcW w:w="7460" w:type="dxa"/>
            <w:tcBorders>
              <w:top w:val="single" w:color="auto" w:sz="4" w:space="0"/>
              <w:left w:val="single" w:color="auto" w:sz="4" w:space="0"/>
              <w:bottom w:val="single" w:color="auto" w:sz="4" w:space="0"/>
              <w:right w:val="single" w:color="auto" w:sz="8" w:space="0"/>
            </w:tcBorders>
          </w:tcPr>
          <w:p>
            <w:pPr>
              <w:widowControl/>
              <w:numPr>
                <w:ilvl w:val="0"/>
                <w:numId w:val="2"/>
              </w:numPr>
              <w:snapToGrid w:val="0"/>
              <w:spacing w:line="460" w:lineRule="exact"/>
              <w:ind w:left="0" w:firstLine="0"/>
              <w:jc w:val="left"/>
              <w:rPr>
                <w:rFonts w:ascii="Arial" w:hAnsi="Arial" w:cs="Arial"/>
                <w:kern w:val="0"/>
                <w:szCs w:val="21"/>
              </w:rPr>
            </w:pPr>
            <w:r>
              <w:rPr>
                <w:rFonts w:hint="eastAsia" w:ascii="Arial" w:hAnsi="Arial" w:cs="Arial"/>
                <w:kern w:val="0"/>
                <w:szCs w:val="21"/>
              </w:rPr>
              <w:t>★轻代理模式支持对应用程序进分类操作，为终端用户定制应用程序权限规则，包含应用程序系统权限规则和网络策略，权限控制至少包含启动、系统服务、进程控制、入侵中安装钩子、注入代码、低级别磁盘防护等权限控制功能（要求提供功能截图，并加盖原厂商公章）；</w:t>
            </w:r>
          </w:p>
          <w:p>
            <w:pPr>
              <w:widowControl/>
              <w:snapToGrid w:val="0"/>
              <w:spacing w:line="460" w:lineRule="exact"/>
              <w:jc w:val="left"/>
              <w:rPr>
                <w:rFonts w:ascii="Arial" w:hAnsi="Arial" w:cs="Arial"/>
                <w:kern w:val="0"/>
                <w:szCs w:val="21"/>
              </w:rPr>
            </w:pPr>
            <w:r>
              <w:rPr>
                <w:rFonts w:hint="eastAsia" w:ascii="Arial" w:hAnsi="Arial" w:cs="Arial"/>
                <w:kern w:val="0"/>
                <w:szCs w:val="21"/>
              </w:rPr>
              <w:t>控制客户端禁止读取U盘/写入U盘，能控制客户端禁止读取CDROM/写入CDROM等，能控制客户端禁止除USB键盘、USB鼠标外的其它USB设备的使用（更精细化的外设控制），能对以下控制（USB、网络、CDROM、接口等）进行计划管理（定时开放、禁用）；</w:t>
            </w:r>
          </w:p>
        </w:tc>
      </w:tr>
      <w:tr>
        <w:tblPrEx>
          <w:tblBorders>
            <w:top w:val="single" w:color="auto" w:sz="4" w:space="0"/>
            <w:left w:val="single" w:color="auto" w:sz="8" w:space="0"/>
            <w:bottom w:val="single" w:color="auto" w:sz="4"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80" w:hRule="atLeast"/>
          <w:jc w:val="center"/>
        </w:trPr>
        <w:tc>
          <w:tcPr>
            <w:tcW w:w="893" w:type="dxa"/>
            <w:tcBorders>
              <w:top w:val="single" w:color="auto" w:sz="4" w:space="0"/>
              <w:left w:val="single" w:color="auto" w:sz="8" w:space="0"/>
              <w:bottom w:val="single" w:color="auto" w:sz="4" w:space="0"/>
              <w:right w:val="single" w:color="auto" w:sz="4" w:space="0"/>
            </w:tcBorders>
            <w:vAlign w:val="center"/>
          </w:tcPr>
          <w:p>
            <w:pPr>
              <w:spacing w:line="460" w:lineRule="exact"/>
              <w:jc w:val="center"/>
              <w:rPr>
                <w:rFonts w:ascii="宋体" w:hAnsi="宋体" w:cs="宋体"/>
                <w:szCs w:val="21"/>
              </w:rPr>
            </w:pPr>
            <w:r>
              <w:rPr>
                <w:rFonts w:hint="eastAsia" w:ascii="宋体" w:hAnsi="宋体" w:cs="宋体"/>
                <w:szCs w:val="21"/>
              </w:rPr>
              <w:t>6</w:t>
            </w:r>
          </w:p>
        </w:tc>
        <w:tc>
          <w:tcPr>
            <w:tcW w:w="1276" w:type="dxa"/>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ascii="宋体" w:hAnsi="宋体" w:cs="宋体"/>
                <w:bCs/>
                <w:color w:val="000000"/>
                <w:szCs w:val="21"/>
              </w:rPr>
            </w:pPr>
            <w:r>
              <w:rPr>
                <w:rFonts w:hint="eastAsia" w:ascii="宋体" w:hAnsi="宋体" w:cs="宋体"/>
                <w:bCs/>
                <w:color w:val="000000"/>
                <w:szCs w:val="21"/>
              </w:rPr>
              <w:t>安全管理控制及安全日志报告</w:t>
            </w:r>
          </w:p>
        </w:tc>
        <w:tc>
          <w:tcPr>
            <w:tcW w:w="7460" w:type="dxa"/>
            <w:tcBorders>
              <w:top w:val="single" w:color="auto" w:sz="4" w:space="0"/>
              <w:left w:val="single" w:color="auto" w:sz="4" w:space="0"/>
              <w:bottom w:val="single" w:color="auto" w:sz="4" w:space="0"/>
              <w:right w:val="single" w:color="auto" w:sz="8" w:space="0"/>
            </w:tcBorders>
          </w:tcPr>
          <w:p>
            <w:pPr>
              <w:widowControl/>
              <w:numPr>
                <w:ilvl w:val="0"/>
                <w:numId w:val="2"/>
              </w:numPr>
              <w:snapToGrid w:val="0"/>
              <w:spacing w:line="460" w:lineRule="exact"/>
              <w:ind w:left="0" w:firstLine="0"/>
              <w:jc w:val="left"/>
              <w:rPr>
                <w:b/>
                <w:bCs/>
              </w:rPr>
            </w:pPr>
            <w:r>
              <w:rPr>
                <w:rFonts w:hint="eastAsia"/>
              </w:rPr>
              <w:t>★考虑未来的安全产品扩容，可实现统一平台、统一管理和统一流程，一个管理控制中心能够管理包括物理平台（Windows、Linux等操作系统）、移动平台（Android、Apple iOS等操作系统）和虚拟化平台（VMware、Citrix、Hyper-V）在内的所有终端防护产品，并集中定制物理、移动和虚拟化平台的策略管理和报告输出（</w:t>
            </w:r>
            <w:r>
              <w:rPr>
                <w:rFonts w:hint="eastAsia"/>
                <w:b/>
                <w:bCs/>
              </w:rPr>
              <w:t>要求提供功能截图，并加盖原厂商公章）；</w:t>
            </w:r>
          </w:p>
          <w:p>
            <w:pPr>
              <w:widowControl/>
              <w:numPr>
                <w:ilvl w:val="0"/>
                <w:numId w:val="2"/>
              </w:numPr>
              <w:snapToGrid w:val="0"/>
              <w:spacing w:line="460" w:lineRule="exact"/>
              <w:ind w:left="0" w:firstLine="0"/>
              <w:jc w:val="left"/>
              <w:rPr>
                <w:b/>
                <w:bCs/>
              </w:rPr>
            </w:pPr>
            <w:r>
              <w:rPr>
                <w:rFonts w:hint="eastAsia"/>
              </w:rPr>
              <w:t>★丰富的报表功能，包括：保护状态、感染最严重的情况、客户端被网络攻击的情况、终端产品版本和病毒库版本等，并支持多种事件导出方式联动SOC系统、SIEM系统或其他威胁感知系统，支持RFC5424、Spluk（CEF格式）、Arcsight（CEF格式）及QRadar（LEEF格式）等（</w:t>
            </w:r>
            <w:r>
              <w:rPr>
                <w:rFonts w:hint="eastAsia"/>
                <w:b/>
                <w:bCs/>
              </w:rPr>
              <w:t>要求提供功能截图，并加盖原厂商公章）；</w:t>
            </w:r>
          </w:p>
          <w:p>
            <w:pPr>
              <w:widowControl/>
              <w:snapToGrid w:val="0"/>
              <w:spacing w:line="460" w:lineRule="exact"/>
              <w:jc w:val="left"/>
            </w:pPr>
          </w:p>
        </w:tc>
      </w:tr>
      <w:tr>
        <w:tblPrEx>
          <w:tblBorders>
            <w:top w:val="single" w:color="auto" w:sz="4" w:space="0"/>
            <w:left w:val="single" w:color="auto" w:sz="8" w:space="0"/>
            <w:bottom w:val="single" w:color="auto" w:sz="4"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80" w:hRule="atLeast"/>
          <w:jc w:val="center"/>
        </w:trPr>
        <w:tc>
          <w:tcPr>
            <w:tcW w:w="893" w:type="dxa"/>
            <w:tcBorders>
              <w:top w:val="single" w:color="auto" w:sz="4" w:space="0"/>
              <w:left w:val="single" w:color="auto" w:sz="8" w:space="0"/>
              <w:bottom w:val="single" w:color="auto" w:sz="4" w:space="0"/>
              <w:right w:val="single" w:color="auto" w:sz="4" w:space="0"/>
            </w:tcBorders>
            <w:vAlign w:val="center"/>
          </w:tcPr>
          <w:p>
            <w:pPr>
              <w:spacing w:line="460" w:lineRule="exact"/>
              <w:jc w:val="center"/>
              <w:rPr>
                <w:rFonts w:ascii="宋体" w:hAnsi="宋体" w:cs="宋体"/>
                <w:szCs w:val="21"/>
              </w:rPr>
            </w:pPr>
            <w:r>
              <w:rPr>
                <w:rFonts w:hint="eastAsia" w:ascii="宋体" w:hAnsi="宋体" w:cs="宋体"/>
                <w:szCs w:val="21"/>
              </w:rPr>
              <w:t>7</w:t>
            </w:r>
          </w:p>
        </w:tc>
        <w:tc>
          <w:tcPr>
            <w:tcW w:w="1276" w:type="dxa"/>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ascii="宋体" w:hAnsi="宋体" w:cs="宋体"/>
                <w:bCs/>
                <w:color w:val="000000"/>
                <w:szCs w:val="21"/>
              </w:rPr>
            </w:pPr>
            <w:r>
              <w:rPr>
                <w:rFonts w:hint="eastAsia" w:ascii="宋体" w:hAnsi="宋体" w:cs="宋体"/>
                <w:bCs/>
                <w:color w:val="000000"/>
                <w:szCs w:val="21"/>
              </w:rPr>
              <w:t>病毒库、规则库和产品的升级与更新</w:t>
            </w:r>
          </w:p>
        </w:tc>
        <w:tc>
          <w:tcPr>
            <w:tcW w:w="7460" w:type="dxa"/>
            <w:tcBorders>
              <w:top w:val="single" w:color="auto" w:sz="4" w:space="0"/>
              <w:left w:val="single" w:color="auto" w:sz="4" w:space="0"/>
              <w:bottom w:val="single" w:color="auto" w:sz="4" w:space="0"/>
              <w:right w:val="single" w:color="auto" w:sz="8" w:space="0"/>
            </w:tcBorders>
          </w:tcPr>
          <w:p>
            <w:pPr>
              <w:widowControl/>
              <w:numPr>
                <w:ilvl w:val="0"/>
                <w:numId w:val="2"/>
              </w:numPr>
              <w:snapToGrid w:val="0"/>
              <w:spacing w:line="460" w:lineRule="exact"/>
              <w:ind w:left="0" w:firstLine="0"/>
              <w:jc w:val="left"/>
              <w:rPr>
                <w:rFonts w:ascii="Arial" w:hAnsi="Arial" w:cs="Arial"/>
                <w:kern w:val="0"/>
                <w:szCs w:val="21"/>
              </w:rPr>
            </w:pPr>
            <w:r>
              <w:rPr>
                <w:rFonts w:hint="eastAsia" w:ascii="Arial" w:hAnsi="Arial" w:cs="Arial"/>
                <w:kern w:val="0"/>
                <w:szCs w:val="21"/>
              </w:rPr>
              <w:t>支持以SVA安全虚拟机为单位的方式进行升级，虚拟机客户端不需单独升级；</w:t>
            </w:r>
          </w:p>
          <w:p>
            <w:pPr>
              <w:widowControl/>
              <w:numPr>
                <w:ilvl w:val="0"/>
                <w:numId w:val="2"/>
              </w:numPr>
              <w:snapToGrid w:val="0"/>
              <w:spacing w:line="460" w:lineRule="exact"/>
              <w:ind w:left="0" w:firstLine="0"/>
              <w:jc w:val="left"/>
              <w:rPr>
                <w:rFonts w:ascii="Arial" w:hAnsi="Arial" w:cs="Arial"/>
                <w:kern w:val="0"/>
                <w:szCs w:val="21"/>
              </w:rPr>
            </w:pPr>
            <w:r>
              <w:rPr>
                <w:rFonts w:hint="eastAsia" w:ascii="Arial" w:hAnsi="Arial" w:cs="Arial"/>
                <w:kern w:val="0"/>
                <w:szCs w:val="21"/>
              </w:rPr>
              <w:t>具有减少网络负载功能，管理控制中心可针对IP子网或者IP段进行数据传输速度的控制，通过建立相关配置规则，可对最大传输速率和时间等参数进行定义；</w:t>
            </w:r>
          </w:p>
          <w:p>
            <w:pPr>
              <w:widowControl/>
              <w:numPr>
                <w:ilvl w:val="0"/>
                <w:numId w:val="2"/>
              </w:numPr>
              <w:snapToGrid w:val="0"/>
              <w:spacing w:line="460" w:lineRule="exact"/>
              <w:ind w:left="0" w:firstLine="0"/>
              <w:jc w:val="left"/>
              <w:rPr>
                <w:rFonts w:ascii="Arial" w:hAnsi="Arial" w:cs="Arial"/>
                <w:kern w:val="0"/>
                <w:szCs w:val="21"/>
              </w:rPr>
            </w:pPr>
            <w:r>
              <w:rPr>
                <w:rFonts w:hint="eastAsia" w:ascii="Arial" w:hAnsi="Arial" w:cs="Arial"/>
                <w:kern w:val="0"/>
                <w:szCs w:val="21"/>
              </w:rPr>
              <w:t>★反病毒数据库条目数≥</w:t>
            </w:r>
            <w:r>
              <w:rPr>
                <w:rFonts w:ascii="Arial" w:hAnsi="Arial" w:cs="Arial"/>
                <w:kern w:val="0"/>
                <w:szCs w:val="21"/>
              </w:rPr>
              <w:t>1200</w:t>
            </w:r>
            <w:r>
              <w:rPr>
                <w:rFonts w:hint="eastAsia" w:ascii="Arial" w:hAnsi="Arial" w:cs="Arial"/>
                <w:kern w:val="0"/>
                <w:szCs w:val="21"/>
              </w:rPr>
              <w:t>万（要求提供功能截图，并加盖原厂商公章）；</w:t>
            </w:r>
          </w:p>
        </w:tc>
      </w:tr>
      <w:tr>
        <w:tblPrEx>
          <w:tblBorders>
            <w:top w:val="single" w:color="auto" w:sz="4" w:space="0"/>
            <w:left w:val="single" w:color="auto" w:sz="8" w:space="0"/>
            <w:bottom w:val="single" w:color="auto" w:sz="4"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80" w:hRule="atLeast"/>
          <w:jc w:val="center"/>
        </w:trPr>
        <w:tc>
          <w:tcPr>
            <w:tcW w:w="893" w:type="dxa"/>
            <w:tcBorders>
              <w:top w:val="single" w:color="auto" w:sz="4" w:space="0"/>
              <w:left w:val="single" w:color="auto" w:sz="8" w:space="0"/>
              <w:bottom w:val="single" w:color="auto" w:sz="4" w:space="0"/>
              <w:right w:val="single" w:color="auto" w:sz="4" w:space="0"/>
            </w:tcBorders>
            <w:vAlign w:val="center"/>
          </w:tcPr>
          <w:p>
            <w:pPr>
              <w:spacing w:line="460" w:lineRule="exact"/>
              <w:jc w:val="center"/>
              <w:rPr>
                <w:rFonts w:ascii="宋体" w:hAnsi="宋体" w:cs="宋体"/>
                <w:szCs w:val="21"/>
              </w:rPr>
            </w:pPr>
            <w:r>
              <w:rPr>
                <w:rFonts w:ascii="宋体" w:hAnsi="宋体" w:cs="宋体"/>
                <w:szCs w:val="21"/>
              </w:rPr>
              <w:t>8</w:t>
            </w:r>
          </w:p>
        </w:tc>
        <w:tc>
          <w:tcPr>
            <w:tcW w:w="1276" w:type="dxa"/>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ascii="宋体" w:hAnsi="宋体" w:cs="宋体"/>
                <w:bCs/>
                <w:color w:val="000000"/>
                <w:szCs w:val="21"/>
                <w:lang w:eastAsia="zh-Hans"/>
              </w:rPr>
            </w:pPr>
            <w:r>
              <w:rPr>
                <w:rFonts w:hint="eastAsia" w:ascii="宋体" w:hAnsi="宋体" w:cs="宋体"/>
                <w:bCs/>
                <w:color w:val="000000"/>
                <w:szCs w:val="21"/>
                <w:lang w:eastAsia="zh-Hans"/>
              </w:rPr>
              <w:t>服务要求</w:t>
            </w:r>
          </w:p>
        </w:tc>
        <w:tc>
          <w:tcPr>
            <w:tcW w:w="7460" w:type="dxa"/>
            <w:tcBorders>
              <w:top w:val="single" w:color="auto" w:sz="4" w:space="0"/>
              <w:left w:val="single" w:color="auto" w:sz="4" w:space="0"/>
              <w:bottom w:val="single" w:color="auto" w:sz="4" w:space="0"/>
              <w:right w:val="single" w:color="auto" w:sz="8" w:space="0"/>
            </w:tcBorders>
          </w:tcPr>
          <w:p>
            <w:pPr>
              <w:widowControl/>
              <w:numPr>
                <w:ilvl w:val="0"/>
                <w:numId w:val="2"/>
              </w:numPr>
              <w:snapToGrid w:val="0"/>
              <w:spacing w:line="460" w:lineRule="exact"/>
              <w:ind w:left="0" w:firstLine="0"/>
              <w:jc w:val="left"/>
              <w:rPr>
                <w:rFonts w:ascii="Arial" w:hAnsi="Arial" w:cs="Arial"/>
                <w:kern w:val="0"/>
                <w:szCs w:val="21"/>
              </w:rPr>
            </w:pPr>
            <w:r>
              <w:rPr>
                <w:rFonts w:hint="eastAsia" w:ascii="Arial" w:hAnsi="Arial" w:cs="Arial"/>
                <w:kern w:val="0"/>
                <w:szCs w:val="21"/>
              </w:rPr>
              <w:t>★用户可以通过视频、语音、文字提交问题，服务工程师提供工单响应支持, 回答提问和协助解决发现到的安全风险事件，</w:t>
            </w:r>
            <w:r>
              <w:rPr>
                <w:rFonts w:hint="eastAsia" w:ascii="Arial" w:hAnsi="Arial" w:cs="Arial"/>
                <w:b/>
                <w:bCs/>
                <w:kern w:val="0"/>
                <w:szCs w:val="21"/>
              </w:rPr>
              <w:t>提供服务平台系统功能截图</w:t>
            </w:r>
            <w:r>
              <w:rPr>
                <w:rFonts w:ascii="Arial" w:hAnsi="Arial" w:cs="Arial"/>
                <w:kern w:val="0"/>
                <w:szCs w:val="21"/>
              </w:rPr>
              <w:t>；</w:t>
            </w:r>
            <w:r>
              <w:rPr>
                <w:rFonts w:hint="eastAsia" w:ascii="Arial" w:hAnsi="Arial" w:cs="Arial"/>
                <w:kern w:val="0"/>
                <w:szCs w:val="21"/>
              </w:rPr>
              <w:t>服务平台预警服务，用户可以通过服务平台系统实时看到防病毒系统的威胁数据展示，增加威胁可见性，</w:t>
            </w:r>
            <w:r>
              <w:rPr>
                <w:rFonts w:hint="eastAsia" w:ascii="Arial" w:hAnsi="Arial" w:cs="Arial"/>
                <w:b/>
                <w:bCs/>
                <w:kern w:val="0"/>
                <w:szCs w:val="21"/>
              </w:rPr>
              <w:t>提供服务平台系统功能截图</w:t>
            </w:r>
          </w:p>
        </w:tc>
      </w:tr>
      <w:tr>
        <w:tblPrEx>
          <w:tblBorders>
            <w:top w:val="single" w:color="auto" w:sz="4" w:space="0"/>
            <w:left w:val="single" w:color="auto" w:sz="8" w:space="0"/>
            <w:bottom w:val="single" w:color="auto" w:sz="4"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80" w:hRule="atLeast"/>
          <w:jc w:val="center"/>
        </w:trPr>
        <w:tc>
          <w:tcPr>
            <w:tcW w:w="893" w:type="dxa"/>
            <w:tcBorders>
              <w:top w:val="single" w:color="auto" w:sz="4" w:space="0"/>
              <w:left w:val="single" w:color="auto" w:sz="8" w:space="0"/>
              <w:bottom w:val="single" w:color="auto" w:sz="4" w:space="0"/>
              <w:right w:val="single" w:color="auto" w:sz="4" w:space="0"/>
            </w:tcBorders>
            <w:vAlign w:val="center"/>
          </w:tcPr>
          <w:p>
            <w:pPr>
              <w:spacing w:line="460" w:lineRule="exact"/>
              <w:jc w:val="center"/>
              <w:rPr>
                <w:rFonts w:ascii="宋体" w:hAnsi="宋体" w:cs="宋体"/>
                <w:szCs w:val="21"/>
              </w:rPr>
            </w:pPr>
            <w:r>
              <w:rPr>
                <w:rFonts w:ascii="宋体" w:hAnsi="宋体" w:cs="宋体"/>
                <w:szCs w:val="21"/>
              </w:rPr>
              <w:t>9</w:t>
            </w:r>
          </w:p>
        </w:tc>
        <w:tc>
          <w:tcPr>
            <w:tcW w:w="1276" w:type="dxa"/>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ascii="宋体" w:hAnsi="宋体" w:cs="宋体"/>
                <w:bCs/>
                <w:color w:val="000000"/>
                <w:szCs w:val="21"/>
              </w:rPr>
            </w:pPr>
            <w:r>
              <w:rPr>
                <w:rFonts w:hint="eastAsia" w:ascii="宋体" w:hAnsi="宋体" w:cs="宋体"/>
                <w:bCs/>
                <w:color w:val="000000"/>
                <w:szCs w:val="21"/>
              </w:rPr>
              <w:t>商务资质</w:t>
            </w:r>
          </w:p>
        </w:tc>
        <w:tc>
          <w:tcPr>
            <w:tcW w:w="7460" w:type="dxa"/>
            <w:tcBorders>
              <w:top w:val="single" w:color="auto" w:sz="4" w:space="0"/>
              <w:left w:val="single" w:color="auto" w:sz="4" w:space="0"/>
              <w:bottom w:val="single" w:color="auto" w:sz="4" w:space="0"/>
              <w:right w:val="single" w:color="auto" w:sz="8" w:space="0"/>
            </w:tcBorders>
          </w:tcPr>
          <w:p>
            <w:pPr>
              <w:widowControl/>
              <w:numPr>
                <w:ilvl w:val="0"/>
                <w:numId w:val="2"/>
              </w:numPr>
              <w:snapToGrid w:val="0"/>
              <w:spacing w:line="460" w:lineRule="exact"/>
              <w:ind w:left="0" w:firstLine="0"/>
              <w:jc w:val="left"/>
              <w:rPr>
                <w:rFonts w:ascii="Arial" w:hAnsi="Arial" w:cs="Arial"/>
                <w:kern w:val="0"/>
                <w:szCs w:val="21"/>
              </w:rPr>
            </w:pPr>
            <w:r>
              <w:rPr>
                <w:rFonts w:hint="eastAsia" w:ascii="Arial" w:hAnsi="Arial" w:cs="Arial"/>
                <w:kern w:val="0"/>
                <w:szCs w:val="21"/>
              </w:rPr>
              <w:t>★产品具有质量保证体系ISO9001认证资质；</w:t>
            </w:r>
          </w:p>
          <w:p>
            <w:pPr>
              <w:widowControl/>
              <w:numPr>
                <w:ilvl w:val="0"/>
                <w:numId w:val="2"/>
              </w:numPr>
              <w:snapToGrid w:val="0"/>
              <w:spacing w:line="460" w:lineRule="exact"/>
              <w:ind w:left="0" w:firstLine="0"/>
              <w:jc w:val="left"/>
              <w:rPr>
                <w:rFonts w:ascii="Arial" w:hAnsi="Arial" w:cs="Arial"/>
                <w:kern w:val="0"/>
                <w:szCs w:val="21"/>
              </w:rPr>
            </w:pPr>
            <w:r>
              <w:rPr>
                <w:rFonts w:hint="eastAsia" w:ascii="Arial" w:hAnsi="Arial" w:cs="Arial"/>
                <w:kern w:val="0"/>
                <w:szCs w:val="21"/>
              </w:rPr>
              <w:t>★提供公安部计算机病毒防治产品检验中心检验报告；</w:t>
            </w:r>
          </w:p>
          <w:p>
            <w:pPr>
              <w:widowControl/>
              <w:numPr>
                <w:ilvl w:val="0"/>
                <w:numId w:val="2"/>
              </w:numPr>
              <w:snapToGrid w:val="0"/>
              <w:spacing w:line="460" w:lineRule="exact"/>
              <w:ind w:left="0" w:firstLine="0"/>
              <w:jc w:val="left"/>
              <w:rPr>
                <w:rFonts w:ascii="Arial" w:hAnsi="Arial" w:cs="Arial"/>
                <w:kern w:val="0"/>
                <w:szCs w:val="21"/>
              </w:rPr>
            </w:pPr>
            <w:r>
              <w:rPr>
                <w:rFonts w:hint="eastAsia" w:ascii="Arial" w:hAnsi="Arial" w:cs="Arial"/>
                <w:kern w:val="0"/>
                <w:szCs w:val="21"/>
              </w:rPr>
              <w:t>★提供公安部计算机信息系统安全专用产品的销售许可证。</w:t>
            </w:r>
          </w:p>
        </w:tc>
      </w:tr>
    </w:tbl>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w:altName w:val="宋体"/>
    <w:panose1 w:val="00000000000000000000"/>
    <w:charset w:val="86"/>
    <w:family w:val="auto"/>
    <w:pitch w:val="default"/>
    <w:sig w:usb0="00000000" w:usb1="00000000" w:usb2="00000000" w:usb3="00000000" w:csb0="00000000" w:csb1="00000000"/>
  </w:font>
  <w:font w:name="等线">
    <w:altName w:val="Segoe Print"/>
    <w:panose1 w:val="00000000000000000000"/>
    <w:charset w:val="86"/>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Segoe Print">
    <w:panose1 w:val="02000600000000000000"/>
    <w:charset w:val="00"/>
    <w:family w:val="auto"/>
    <w:pitch w:val="default"/>
    <w:sig w:usb0="0000028F" w:usb1="00000000" w:usb2="00000000" w:usb3="00000000" w:csb0="2000009F" w:csb1="47010000"/>
  </w:font>
  <w:font w:name="等线 Light">
    <w:altName w:val="Segoe Print"/>
    <w:panose1 w:val="00000000000000000000"/>
    <w:charset w:val="00"/>
    <w:family w:val="auto"/>
    <w:pitch w:val="default"/>
    <w:sig w:usb0="00000000" w:usb1="00000000" w:usb2="00000000" w:usb3="00000000" w:csb0="00000000" w:csb1="00000000"/>
  </w:font>
  <w:font w:name="等线">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DF4B24"/>
    <w:multiLevelType w:val="multilevel"/>
    <w:tmpl w:val="2FDF4B24"/>
    <w:lvl w:ilvl="0" w:tentative="0">
      <w:start w:val="1"/>
      <w:numFmt w:val="decimal"/>
      <w:lvlText w:val="%1."/>
      <w:lvlJc w:val="left"/>
      <w:pPr>
        <w:ind w:left="420" w:hanging="420"/>
      </w:pPr>
    </w:lvl>
    <w:lvl w:ilvl="1" w:tentative="0">
      <w:start w:val="0"/>
      <w:numFmt w:val="bullet"/>
      <w:lvlText w:val="★"/>
      <w:lvlJc w:val="left"/>
      <w:pPr>
        <w:ind w:left="780" w:hanging="360"/>
      </w:pPr>
      <w:rPr>
        <w:rFonts w:hint="eastAsia" w:ascii="宋体" w:hAnsi="宋体" w:eastAsia="宋体" w:cs="宋体"/>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401214E"/>
    <w:multiLevelType w:val="multilevel"/>
    <w:tmpl w:val="7401214E"/>
    <w:lvl w:ilvl="0" w:tentative="0">
      <w:start w:val="1"/>
      <w:numFmt w:val="decimal"/>
      <w:pStyle w:val="2"/>
      <w:lvlText w:val="%1"/>
      <w:lvlJc w:val="left"/>
      <w:pPr>
        <w:ind w:left="432" w:hanging="432"/>
      </w:pPr>
    </w:lvl>
    <w:lvl w:ilvl="1" w:tentative="0">
      <w:start w:val="1"/>
      <w:numFmt w:val="decimal"/>
      <w:pStyle w:val="3"/>
      <w:lvlText w:val="%1.%2"/>
      <w:lvlJc w:val="left"/>
      <w:pPr>
        <w:ind w:left="576" w:hanging="576"/>
      </w:pPr>
    </w:lvl>
    <w:lvl w:ilvl="2" w:tentative="0">
      <w:start w:val="1"/>
      <w:numFmt w:val="decimal"/>
      <w:pStyle w:val="4"/>
      <w:lvlText w:val="%1.%2.%3"/>
      <w:lvlJc w:val="left"/>
      <w:pPr>
        <w:ind w:left="720" w:hanging="720"/>
      </w:pPr>
    </w:lvl>
    <w:lvl w:ilvl="3" w:tentative="0">
      <w:start w:val="1"/>
      <w:numFmt w:val="decimal"/>
      <w:pStyle w:val="5"/>
      <w:lvlText w:val="%1.%2.%3.%4"/>
      <w:lvlJc w:val="left"/>
      <w:pPr>
        <w:ind w:left="864" w:hanging="864"/>
      </w:pPr>
    </w:lvl>
    <w:lvl w:ilvl="4" w:tentative="0">
      <w:start w:val="1"/>
      <w:numFmt w:val="decimal"/>
      <w:pStyle w:val="6"/>
      <w:lvlText w:val="%1.%2.%3.%4.%5"/>
      <w:lvlJc w:val="left"/>
      <w:pPr>
        <w:ind w:left="1008" w:hanging="1008"/>
      </w:pPr>
    </w:lvl>
    <w:lvl w:ilvl="5" w:tentative="0">
      <w:start w:val="1"/>
      <w:numFmt w:val="decimal"/>
      <w:pStyle w:val="7"/>
      <w:lvlText w:val="%1.%2.%3.%4.%5.%6"/>
      <w:lvlJc w:val="left"/>
      <w:pPr>
        <w:ind w:left="1152" w:hanging="1152"/>
      </w:pPr>
    </w:lvl>
    <w:lvl w:ilvl="6" w:tentative="0">
      <w:start w:val="1"/>
      <w:numFmt w:val="decimal"/>
      <w:pStyle w:val="8"/>
      <w:lvlText w:val="%1.%2.%3.%4.%5.%6.%7"/>
      <w:lvlJc w:val="left"/>
      <w:pPr>
        <w:ind w:left="1296" w:hanging="1296"/>
      </w:pPr>
    </w:lvl>
    <w:lvl w:ilvl="7" w:tentative="0">
      <w:start w:val="1"/>
      <w:numFmt w:val="decimal"/>
      <w:pStyle w:val="9"/>
      <w:lvlText w:val="%1.%2.%3.%4.%5.%6.%7.%8"/>
      <w:lvlJc w:val="left"/>
      <w:pPr>
        <w:ind w:left="1440" w:hanging="1440"/>
      </w:pPr>
    </w:lvl>
    <w:lvl w:ilvl="8" w:tentative="0">
      <w:start w:val="1"/>
      <w:numFmt w:val="decimal"/>
      <w:pStyle w:val="10"/>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9E9"/>
    <w:rsid w:val="00511E74"/>
    <w:rsid w:val="00A329E9"/>
    <w:rsid w:val="184409E6"/>
    <w:rsid w:val="25894E71"/>
    <w:rsid w:val="27DD6FAA"/>
    <w:rsid w:val="2E4348ED"/>
    <w:rsid w:val="35D57EBB"/>
    <w:rsid w:val="5C980C70"/>
    <w:rsid w:val="5ECB24E2"/>
    <w:rsid w:val="61423B7C"/>
    <w:rsid w:val="6D9F06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39"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9" w:semiHidden="0" w:name="heading 6"/>
    <w:lsdException w:qFormat="1" w:uiPriority="99" w:semiHidden="0" w:name="heading 7"/>
    <w:lsdException w:qFormat="1" w:uiPriority="0" w:semiHidden="0" w:name="heading 8"/>
    <w:lsdException w:qFormat="1"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39"/>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link w:val="14"/>
    <w:unhideWhenUsed/>
    <w:qFormat/>
    <w:uiPriority w:val="0"/>
    <w:pPr>
      <w:keepNext/>
      <w:keepLines/>
      <w:numPr>
        <w:ilvl w:val="1"/>
        <w:numId w:val="1"/>
      </w:numPr>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5"/>
    <w:unhideWhenUsed/>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16"/>
    <w:unhideWhenUsed/>
    <w:qFormat/>
    <w:uiPriority w:val="0"/>
    <w:pPr>
      <w:keepNext/>
      <w:keepLines/>
      <w:numPr>
        <w:ilvl w:val="3"/>
        <w:numId w:val="1"/>
      </w:numPr>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17"/>
    <w:unhideWhenUsed/>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18"/>
    <w:unhideWhenUsed/>
    <w:qFormat/>
    <w:uiPriority w:val="9"/>
    <w:pPr>
      <w:keepNext/>
      <w:keepLines/>
      <w:numPr>
        <w:ilvl w:val="5"/>
        <w:numId w:val="1"/>
      </w:numPr>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19"/>
    <w:unhideWhenUsed/>
    <w:qFormat/>
    <w:uiPriority w:val="99"/>
    <w:pPr>
      <w:keepNext/>
      <w:keepLines/>
      <w:numPr>
        <w:ilvl w:val="6"/>
        <w:numId w:val="1"/>
      </w:numPr>
      <w:spacing w:before="240" w:after="64" w:line="320" w:lineRule="auto"/>
      <w:outlineLvl w:val="6"/>
    </w:pPr>
    <w:rPr>
      <w:b/>
      <w:bCs/>
      <w:sz w:val="24"/>
      <w:szCs w:val="24"/>
    </w:rPr>
  </w:style>
  <w:style w:type="paragraph" w:styleId="9">
    <w:name w:val="heading 8"/>
    <w:basedOn w:val="1"/>
    <w:next w:val="1"/>
    <w:link w:val="20"/>
    <w:unhideWhenUsed/>
    <w:qFormat/>
    <w:uiPriority w:val="0"/>
    <w:pPr>
      <w:keepNext/>
      <w:keepLines/>
      <w:numPr>
        <w:ilvl w:val="7"/>
        <w:numId w:val="1"/>
      </w:numPr>
      <w:spacing w:before="240" w:after="64" w:line="320" w:lineRule="auto"/>
      <w:outlineLvl w:val="7"/>
    </w:pPr>
    <w:rPr>
      <w:rFonts w:asciiTheme="majorHAnsi" w:hAnsiTheme="majorHAnsi" w:eastAsiaTheme="majorEastAsia" w:cstheme="majorBidi"/>
      <w:sz w:val="24"/>
      <w:szCs w:val="24"/>
    </w:rPr>
  </w:style>
  <w:style w:type="paragraph" w:styleId="10">
    <w:name w:val="heading 9"/>
    <w:basedOn w:val="1"/>
    <w:next w:val="1"/>
    <w:link w:val="21"/>
    <w:unhideWhenUsed/>
    <w:qFormat/>
    <w:uiPriority w:val="0"/>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character" w:customStyle="1" w:styleId="13">
    <w:name w:val="标题 1 字符"/>
    <w:basedOn w:val="11"/>
    <w:link w:val="2"/>
    <w:qFormat/>
    <w:uiPriority w:val="39"/>
    <w:rPr>
      <w:b/>
      <w:bCs/>
      <w:kern w:val="44"/>
      <w:sz w:val="44"/>
      <w:szCs w:val="44"/>
    </w:rPr>
  </w:style>
  <w:style w:type="character" w:customStyle="1" w:styleId="14">
    <w:name w:val="标题 2 字符"/>
    <w:basedOn w:val="11"/>
    <w:link w:val="3"/>
    <w:qFormat/>
    <w:uiPriority w:val="0"/>
    <w:rPr>
      <w:rFonts w:asciiTheme="majorHAnsi" w:hAnsiTheme="majorHAnsi" w:eastAsiaTheme="majorEastAsia" w:cstheme="majorBidi"/>
      <w:b/>
      <w:bCs/>
      <w:sz w:val="32"/>
      <w:szCs w:val="32"/>
    </w:rPr>
  </w:style>
  <w:style w:type="character" w:customStyle="1" w:styleId="15">
    <w:name w:val="标题 3 字符"/>
    <w:basedOn w:val="11"/>
    <w:link w:val="4"/>
    <w:qFormat/>
    <w:uiPriority w:val="0"/>
    <w:rPr>
      <w:b/>
      <w:bCs/>
      <w:sz w:val="32"/>
      <w:szCs w:val="32"/>
    </w:rPr>
  </w:style>
  <w:style w:type="character" w:customStyle="1" w:styleId="16">
    <w:name w:val="标题 4 字符"/>
    <w:basedOn w:val="11"/>
    <w:link w:val="5"/>
    <w:qFormat/>
    <w:uiPriority w:val="0"/>
    <w:rPr>
      <w:rFonts w:asciiTheme="majorHAnsi" w:hAnsiTheme="majorHAnsi" w:eastAsiaTheme="majorEastAsia" w:cstheme="majorBidi"/>
      <w:b/>
      <w:bCs/>
      <w:sz w:val="28"/>
      <w:szCs w:val="28"/>
    </w:rPr>
  </w:style>
  <w:style w:type="character" w:customStyle="1" w:styleId="17">
    <w:name w:val="标题 5 字符"/>
    <w:basedOn w:val="11"/>
    <w:link w:val="6"/>
    <w:qFormat/>
    <w:uiPriority w:val="0"/>
    <w:rPr>
      <w:b/>
      <w:bCs/>
      <w:sz w:val="28"/>
      <w:szCs w:val="28"/>
    </w:rPr>
  </w:style>
  <w:style w:type="character" w:customStyle="1" w:styleId="18">
    <w:name w:val="标题 6 字符"/>
    <w:basedOn w:val="11"/>
    <w:link w:val="7"/>
    <w:qFormat/>
    <w:uiPriority w:val="9"/>
    <w:rPr>
      <w:rFonts w:asciiTheme="majorHAnsi" w:hAnsiTheme="majorHAnsi" w:eastAsiaTheme="majorEastAsia" w:cstheme="majorBidi"/>
      <w:b/>
      <w:bCs/>
      <w:sz w:val="24"/>
      <w:szCs w:val="24"/>
    </w:rPr>
  </w:style>
  <w:style w:type="character" w:customStyle="1" w:styleId="19">
    <w:name w:val="标题 7 字符"/>
    <w:basedOn w:val="11"/>
    <w:link w:val="8"/>
    <w:qFormat/>
    <w:uiPriority w:val="99"/>
    <w:rPr>
      <w:b/>
      <w:bCs/>
      <w:sz w:val="24"/>
      <w:szCs w:val="24"/>
    </w:rPr>
  </w:style>
  <w:style w:type="character" w:customStyle="1" w:styleId="20">
    <w:name w:val="标题 8 字符"/>
    <w:basedOn w:val="11"/>
    <w:link w:val="9"/>
    <w:qFormat/>
    <w:uiPriority w:val="0"/>
    <w:rPr>
      <w:rFonts w:asciiTheme="majorHAnsi" w:hAnsiTheme="majorHAnsi" w:eastAsiaTheme="majorEastAsia" w:cstheme="majorBidi"/>
      <w:sz w:val="24"/>
      <w:szCs w:val="24"/>
    </w:rPr>
  </w:style>
  <w:style w:type="character" w:customStyle="1" w:styleId="21">
    <w:name w:val="标题 9 字符"/>
    <w:basedOn w:val="11"/>
    <w:link w:val="10"/>
    <w:qFormat/>
    <w:uiPriority w:val="0"/>
    <w:rPr>
      <w:rFonts w:asciiTheme="majorHAnsi" w:hAnsiTheme="majorHAnsi" w:eastAsiaTheme="majorEastAsia" w:cstheme="majorBidi"/>
      <w:szCs w:val="21"/>
    </w:rPr>
  </w:style>
  <w:style w:type="character" w:customStyle="1" w:styleId="22">
    <w:name w:val="列出段落 字符"/>
    <w:link w:val="23"/>
    <w:qFormat/>
    <w:uiPriority w:val="34"/>
    <w:rPr>
      <w:szCs w:val="24"/>
    </w:rPr>
  </w:style>
  <w:style w:type="paragraph" w:styleId="23">
    <w:name w:val="List Paragraph"/>
    <w:basedOn w:val="1"/>
    <w:link w:val="22"/>
    <w:qFormat/>
    <w:uiPriority w:val="34"/>
    <w:pPr>
      <w:ind w:firstLine="420" w:firstLineChars="200"/>
    </w:pPr>
    <w:rPr>
      <w:szCs w:val="24"/>
    </w:rPr>
  </w:style>
  <w:style w:type="paragraph" w:customStyle="1" w:styleId="24">
    <w:name w:val="5.1.1"/>
    <w:basedOn w:val="1"/>
    <w:next w:val="23"/>
    <w:link w:val="25"/>
    <w:qFormat/>
    <w:uiPriority w:val="34"/>
    <w:pPr>
      <w:ind w:firstLine="420" w:firstLineChars="200"/>
    </w:pPr>
  </w:style>
  <w:style w:type="character" w:customStyle="1" w:styleId="25">
    <w:name w:val="列出段落 Char"/>
    <w:link w:val="24"/>
    <w:qFormat/>
    <w:uiPriority w:val="34"/>
  </w:style>
  <w:style w:type="paragraph" w:customStyle="1" w:styleId="26">
    <w:name w:val="列表段落1"/>
    <w:basedOn w:val="1"/>
    <w:qFormat/>
    <w:uiPriority w:val="0"/>
    <w:pPr>
      <w:autoSpaceDE w:val="0"/>
      <w:autoSpaceDN w:val="0"/>
      <w:ind w:left="1802" w:firstLine="570"/>
      <w:jc w:val="left"/>
    </w:pPr>
    <w:rPr>
      <w:rFonts w:ascii="宋体" w:hAnsi="宋体" w:eastAsia="宋体" w:cs="宋体"/>
      <w:kern w:val="0"/>
      <w:sz w:val="22"/>
    </w:rPr>
  </w:style>
  <w:style w:type="paragraph" w:customStyle="1" w:styleId="27">
    <w:name w:val="列出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1097</Words>
  <Characters>6257</Characters>
  <Lines>52</Lines>
  <Paragraphs>14</Paragraphs>
  <TotalTime>0</TotalTime>
  <ScaleCrop>false</ScaleCrop>
  <LinksUpToDate>false</LinksUpToDate>
  <CharactersWithSpaces>7340</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2020-11-29T01:11:00Z</dcterms:created>
  <dc:creator>雷华艳</dc:creator>
  <cp:lastModifiedBy>空</cp:lastModifiedBy>
  <dcterms:modified xsi:type="dcterms:W3CDTF">2022-05-10T03:22:11Z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